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1328" w14:textId="77777777" w:rsidR="00A3737F" w:rsidRPr="00F25B06" w:rsidRDefault="00A3737F" w:rsidP="00C1107E">
      <w:pPr>
        <w:spacing w:after="0" w:line="360" w:lineRule="auto"/>
        <w:jc w:val="center"/>
        <w:rPr>
          <w:b/>
          <w:sz w:val="24"/>
          <w:szCs w:val="24"/>
        </w:rPr>
      </w:pPr>
      <w:r w:rsidRPr="00F25B06">
        <w:rPr>
          <w:b/>
          <w:sz w:val="24"/>
          <w:szCs w:val="24"/>
        </w:rPr>
        <w:t>FAUNA</w:t>
      </w:r>
      <w:r>
        <w:rPr>
          <w:b/>
          <w:sz w:val="24"/>
          <w:szCs w:val="24"/>
        </w:rPr>
        <w:t xml:space="preserve"> ÉS</w:t>
      </w:r>
      <w:r w:rsidRPr="00F25B06">
        <w:rPr>
          <w:b/>
          <w:sz w:val="24"/>
          <w:szCs w:val="24"/>
        </w:rPr>
        <w:t xml:space="preserve"> FLORA ALAPÍTVÁNY PÁLYÁZATI FELHÍVÁSA ÉS FELTÉTELRENDSZERE</w:t>
      </w:r>
    </w:p>
    <w:p w14:paraId="2E8A9CD4" w14:textId="77777777" w:rsidR="00A3737F" w:rsidRPr="00F25B06" w:rsidRDefault="00A3737F" w:rsidP="00C1107E">
      <w:pPr>
        <w:spacing w:after="240" w:line="360" w:lineRule="auto"/>
        <w:jc w:val="center"/>
        <w:rPr>
          <w:b/>
          <w:sz w:val="24"/>
          <w:szCs w:val="24"/>
        </w:rPr>
      </w:pPr>
      <w:r w:rsidRPr="00F25B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kutatási tevékenység</w:t>
      </w:r>
      <w:r w:rsidRPr="00F25B06">
        <w:rPr>
          <w:b/>
          <w:sz w:val="24"/>
          <w:szCs w:val="24"/>
        </w:rPr>
        <w:t xml:space="preserve"> támogatására)</w:t>
      </w:r>
    </w:p>
    <w:p w14:paraId="16AF4CCE" w14:textId="68D27C56" w:rsidR="00A3737F" w:rsidRPr="00F25B06" w:rsidRDefault="00F97C14" w:rsidP="00C1107E">
      <w:pPr>
        <w:spacing w:after="0" w:line="360" w:lineRule="auto"/>
        <w:jc w:val="both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35B14EE5" wp14:editId="4E8F418C">
            <wp:simplePos x="0" y="0"/>
            <wp:positionH relativeFrom="margin">
              <wp:posOffset>4160520</wp:posOffset>
            </wp:positionH>
            <wp:positionV relativeFrom="paragraph">
              <wp:posOffset>279400</wp:posOffset>
            </wp:positionV>
            <wp:extent cx="1590675" cy="1463040"/>
            <wp:effectExtent l="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7F" w:rsidRPr="00F25B06">
        <w:rPr>
          <w:b/>
          <w:sz w:val="24"/>
          <w:szCs w:val="24"/>
        </w:rPr>
        <w:t>Pályázat célja</w:t>
      </w:r>
    </w:p>
    <w:p w14:paraId="5E2241DE" w14:textId="3DC7096E" w:rsidR="00A3737F" w:rsidRPr="00F25B06" w:rsidRDefault="00A3737F" w:rsidP="00C1107E">
      <w:pPr>
        <w:spacing w:after="0" w:line="360" w:lineRule="auto"/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A</w:t>
      </w:r>
      <w:r w:rsidRPr="00F25B06">
        <w:rPr>
          <w:sz w:val="24"/>
          <w:szCs w:val="24"/>
        </w:rPr>
        <w:t xml:space="preserve"> Fauna</w:t>
      </w:r>
      <w:r>
        <w:rPr>
          <w:sz w:val="24"/>
          <w:szCs w:val="24"/>
        </w:rPr>
        <w:t xml:space="preserve"> és Flóra</w:t>
      </w:r>
      <w:r w:rsidRPr="00F25B06">
        <w:rPr>
          <w:sz w:val="24"/>
          <w:szCs w:val="24"/>
        </w:rPr>
        <w:t xml:space="preserve"> Alapítvány (továbbiakban Alapítvány) </w:t>
      </w:r>
      <w:r>
        <w:rPr>
          <w:sz w:val="24"/>
          <w:szCs w:val="24"/>
        </w:rPr>
        <w:t>a 2021/2022-es</w:t>
      </w:r>
      <w:r w:rsidRPr="00F25B06">
        <w:rPr>
          <w:sz w:val="24"/>
          <w:szCs w:val="24"/>
        </w:rPr>
        <w:t xml:space="preserve"> tanévre a hallgatói </w:t>
      </w:r>
      <w:r w:rsidR="00F97C14">
        <w:rPr>
          <w:sz w:val="24"/>
          <w:szCs w:val="24"/>
        </w:rPr>
        <w:t>előmenetelt</w:t>
      </w:r>
      <w:r w:rsidR="00F97C14" w:rsidRPr="00F25B06">
        <w:rPr>
          <w:sz w:val="24"/>
          <w:szCs w:val="24"/>
        </w:rPr>
        <w:t xml:space="preserve"> </w:t>
      </w:r>
      <w:r w:rsidRPr="00F25B06">
        <w:rPr>
          <w:sz w:val="24"/>
          <w:szCs w:val="24"/>
        </w:rPr>
        <w:t xml:space="preserve">segítő pályázatot hirdet. A pályázat célja </w:t>
      </w:r>
      <w:r w:rsidRPr="00C64B5F">
        <w:rPr>
          <w:bCs/>
          <w:iCs/>
          <w:color w:val="000000"/>
          <w:sz w:val="24"/>
          <w:szCs w:val="24"/>
        </w:rPr>
        <w:t>kutatási</w:t>
      </w:r>
      <w:r>
        <w:rPr>
          <w:bCs/>
          <w:iCs/>
          <w:color w:val="0000FF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tevékenység </w:t>
      </w:r>
      <w:r w:rsidRPr="00F25B06">
        <w:rPr>
          <w:bCs/>
          <w:iCs/>
          <w:sz w:val="24"/>
          <w:szCs w:val="24"/>
        </w:rPr>
        <w:t>támogatása.</w:t>
      </w:r>
    </w:p>
    <w:p w14:paraId="6345C2FA" w14:textId="135FE053" w:rsidR="00A3737F" w:rsidRPr="00F25B06" w:rsidRDefault="00A3737F" w:rsidP="00C1107E">
      <w:pPr>
        <w:spacing w:after="0" w:line="360" w:lineRule="auto"/>
        <w:ind w:firstLine="567"/>
        <w:jc w:val="both"/>
        <w:rPr>
          <w:sz w:val="24"/>
          <w:szCs w:val="24"/>
        </w:rPr>
      </w:pPr>
      <w:r w:rsidRPr="00F25B06">
        <w:rPr>
          <w:bCs/>
          <w:iCs/>
          <w:sz w:val="24"/>
          <w:szCs w:val="24"/>
        </w:rPr>
        <w:t xml:space="preserve">Az Alapítvány </w:t>
      </w:r>
      <w:r w:rsidRPr="00594AB9">
        <w:rPr>
          <w:bCs/>
          <w:iCs/>
          <w:sz w:val="24"/>
          <w:szCs w:val="24"/>
        </w:rPr>
        <w:t>témafelsorolást tesz közzé a</w:t>
      </w:r>
      <w:r w:rsidRPr="00C64B5F">
        <w:rPr>
          <w:bCs/>
          <w:iCs/>
          <w:color w:val="000000"/>
          <w:sz w:val="24"/>
          <w:szCs w:val="24"/>
        </w:rPr>
        <w:t xml:space="preserve"> jelen</w:t>
      </w:r>
      <w:r>
        <w:rPr>
          <w:bCs/>
          <w:iCs/>
          <w:color w:val="0000FF"/>
          <w:sz w:val="24"/>
          <w:szCs w:val="24"/>
        </w:rPr>
        <w:t xml:space="preserve"> </w:t>
      </w:r>
      <w:r w:rsidRPr="00594AB9">
        <w:rPr>
          <w:bCs/>
          <w:iCs/>
          <w:sz w:val="24"/>
          <w:szCs w:val="24"/>
        </w:rPr>
        <w:t>pályázati felhívás mellékle</w:t>
      </w:r>
      <w:r>
        <w:rPr>
          <w:bCs/>
          <w:iCs/>
          <w:sz w:val="24"/>
          <w:szCs w:val="24"/>
        </w:rPr>
        <w:t>teként</w:t>
      </w:r>
      <w:r w:rsidRPr="00F25B06">
        <w:rPr>
          <w:bCs/>
          <w:iCs/>
          <w:sz w:val="24"/>
          <w:szCs w:val="24"/>
        </w:rPr>
        <w:t xml:space="preserve">, mely témák közül a pályázók szabadon választhatnak </w:t>
      </w:r>
      <w:r>
        <w:rPr>
          <w:bCs/>
          <w:iCs/>
          <w:sz w:val="24"/>
          <w:szCs w:val="24"/>
        </w:rPr>
        <w:t>kutatási témát</w:t>
      </w:r>
      <w:r w:rsidRPr="00F25B06">
        <w:rPr>
          <w:bCs/>
          <w:iCs/>
          <w:sz w:val="24"/>
          <w:szCs w:val="24"/>
        </w:rPr>
        <w:t>. Az Alapítvány, mint támogató sikeres pályázat esetén vállalja a pályázatban megfogalmazott</w:t>
      </w:r>
      <w:r>
        <w:rPr>
          <w:bCs/>
          <w:iCs/>
          <w:sz w:val="24"/>
          <w:szCs w:val="24"/>
        </w:rPr>
        <w:t xml:space="preserve"> célok megvalósításához szükséges utazási- és labor költségek</w:t>
      </w:r>
      <w:r w:rsidRPr="00F25B06">
        <w:rPr>
          <w:bCs/>
          <w:iCs/>
          <w:sz w:val="24"/>
          <w:szCs w:val="24"/>
        </w:rPr>
        <w:t xml:space="preserve"> finanszírozását (külön eljárási rend szerint)</w:t>
      </w:r>
      <w:r>
        <w:rPr>
          <w:bCs/>
          <w:iCs/>
          <w:sz w:val="24"/>
          <w:szCs w:val="24"/>
        </w:rPr>
        <w:t xml:space="preserve">, </w:t>
      </w:r>
      <w:r w:rsidRPr="00F25B06">
        <w:rPr>
          <w:bCs/>
          <w:iCs/>
          <w:sz w:val="24"/>
          <w:szCs w:val="24"/>
        </w:rPr>
        <w:t>a pályázatban igényelt eszközök</w:t>
      </w:r>
      <w:r>
        <w:rPr>
          <w:bCs/>
          <w:iCs/>
          <w:sz w:val="24"/>
          <w:szCs w:val="24"/>
        </w:rPr>
        <w:t>, adatbázisok</w:t>
      </w:r>
      <w:r w:rsidRPr="00F25B06">
        <w:rPr>
          <w:bCs/>
          <w:iCs/>
          <w:sz w:val="24"/>
          <w:szCs w:val="24"/>
        </w:rPr>
        <w:t xml:space="preserve"> rendelkezésre bocsájtás</w:t>
      </w:r>
      <w:r>
        <w:rPr>
          <w:bCs/>
          <w:iCs/>
          <w:sz w:val="24"/>
          <w:szCs w:val="24"/>
        </w:rPr>
        <w:t>á</w:t>
      </w:r>
      <w:r w:rsidRPr="00F25B06">
        <w:rPr>
          <w:bCs/>
          <w:iCs/>
          <w:sz w:val="24"/>
          <w:szCs w:val="24"/>
        </w:rPr>
        <w:t>t (külön bérbeadási szerződéssel</w:t>
      </w:r>
      <w:r w:rsidR="00827EC5">
        <w:rPr>
          <w:bCs/>
          <w:iCs/>
          <w:sz w:val="24"/>
          <w:szCs w:val="24"/>
        </w:rPr>
        <w:t>).</w:t>
      </w:r>
    </w:p>
    <w:p w14:paraId="0655EF27" w14:textId="77777777" w:rsidR="00A3737F" w:rsidRPr="00F25B06" w:rsidRDefault="00A3737F" w:rsidP="00C1107E">
      <w:p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b/>
          <w:sz w:val="24"/>
          <w:szCs w:val="24"/>
        </w:rPr>
        <w:t>Pályázókkal szemben támasztott feltételek</w:t>
      </w:r>
    </w:p>
    <w:p w14:paraId="6ED9E151" w14:textId="5CCE802E" w:rsidR="00A3737F" w:rsidRPr="00F25B06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 xml:space="preserve">Aktív hallgatói státusz </w:t>
      </w:r>
      <w:r w:rsidRPr="00F24320">
        <w:rPr>
          <w:sz w:val="24"/>
          <w:szCs w:val="24"/>
        </w:rPr>
        <w:t xml:space="preserve">bármely </w:t>
      </w:r>
      <w:r w:rsidR="00DF30B3">
        <w:rPr>
          <w:sz w:val="24"/>
          <w:szCs w:val="24"/>
        </w:rPr>
        <w:t>témakiírásokhoz köthető szakirányú</w:t>
      </w:r>
      <w:r w:rsidRPr="00F24320">
        <w:rPr>
          <w:sz w:val="24"/>
          <w:szCs w:val="24"/>
        </w:rPr>
        <w:t xml:space="preserve"> felsőfokú képzésen, tagozattól függetlenül</w:t>
      </w:r>
      <w:r w:rsidRPr="00F25B06">
        <w:rPr>
          <w:sz w:val="24"/>
          <w:szCs w:val="24"/>
        </w:rPr>
        <w:t xml:space="preserve"> a 20</w:t>
      </w:r>
      <w:r>
        <w:rPr>
          <w:sz w:val="24"/>
          <w:szCs w:val="24"/>
        </w:rPr>
        <w:t>21</w:t>
      </w:r>
      <w:r w:rsidRPr="00F25B06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25B06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F25B06">
        <w:rPr>
          <w:sz w:val="24"/>
          <w:szCs w:val="24"/>
        </w:rPr>
        <w:t>s tanév őszi és tavaszi szemeszterében</w:t>
      </w:r>
      <w:r>
        <w:rPr>
          <w:sz w:val="24"/>
          <w:szCs w:val="24"/>
        </w:rPr>
        <w:t>;</w:t>
      </w:r>
    </w:p>
    <w:p w14:paraId="37A5CBA6" w14:textId="77777777" w:rsidR="00A3737F" w:rsidRPr="00F25B06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 xml:space="preserve"> Minimum 2 lezárt félév</w:t>
      </w:r>
      <w:r>
        <w:rPr>
          <w:sz w:val="24"/>
          <w:szCs w:val="24"/>
        </w:rPr>
        <w:t>;</w:t>
      </w:r>
    </w:p>
    <w:p w14:paraId="6E827672" w14:textId="77777777" w:rsidR="00A3737F" w:rsidRPr="00F25B06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DC61C2">
        <w:rPr>
          <w:sz w:val="24"/>
          <w:szCs w:val="24"/>
        </w:rPr>
        <w:t xml:space="preserve">Az utolsó két lezárt félév valamelyikében nyújtott </w:t>
      </w:r>
      <w:r w:rsidRPr="00F25B06">
        <w:rPr>
          <w:sz w:val="24"/>
          <w:szCs w:val="24"/>
        </w:rPr>
        <w:t xml:space="preserve">minimum jó tanulmányi eredmény (kumulált átlag legalább </w:t>
      </w:r>
      <w:r w:rsidRPr="00577BDB">
        <w:rPr>
          <w:sz w:val="24"/>
          <w:szCs w:val="24"/>
        </w:rPr>
        <w:t>3,51);</w:t>
      </w:r>
    </w:p>
    <w:p w14:paraId="1E06D6C5" w14:textId="77777777" w:rsidR="00A3737F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 xml:space="preserve">A szakdolgozat készítésére kidolgozott </w:t>
      </w:r>
      <w:r w:rsidRPr="0067686E">
        <w:rPr>
          <w:sz w:val="24"/>
          <w:szCs w:val="24"/>
        </w:rPr>
        <w:t>program- és költségterv benyújtása</w:t>
      </w:r>
      <w:r>
        <w:rPr>
          <w:sz w:val="24"/>
          <w:szCs w:val="24"/>
        </w:rPr>
        <w:t>;</w:t>
      </w:r>
      <w:r w:rsidRPr="00F25B06">
        <w:rPr>
          <w:sz w:val="24"/>
          <w:szCs w:val="24"/>
        </w:rPr>
        <w:t xml:space="preserve">  </w:t>
      </w:r>
    </w:p>
    <w:p w14:paraId="076A1804" w14:textId="1211B68D" w:rsidR="00A3737F" w:rsidRPr="00F25B06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>A szóbeli elbeszélgetésen való r</w:t>
      </w:r>
      <w:r>
        <w:rPr>
          <w:sz w:val="24"/>
          <w:szCs w:val="24"/>
        </w:rPr>
        <w:t>észvétel</w:t>
      </w:r>
      <w:r w:rsidR="00D41896">
        <w:rPr>
          <w:sz w:val="24"/>
          <w:szCs w:val="24"/>
        </w:rPr>
        <w:t>;</w:t>
      </w:r>
    </w:p>
    <w:p w14:paraId="0C27F9C5" w14:textId="77777777" w:rsidR="00A3737F" w:rsidRPr="00826343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26343">
        <w:rPr>
          <w:sz w:val="24"/>
          <w:szCs w:val="24"/>
        </w:rPr>
        <w:t>A pályázó a pályázat benyújtásával hozzájárulását adja ahhoz, hogy a Támogató fényképet készítsen róla, és képmását, valamint nevét sajtóközleményében, honlapján, valamint kiadványaiban felhasználja;</w:t>
      </w:r>
    </w:p>
    <w:p w14:paraId="74A5A366" w14:textId="1FBECB9B" w:rsidR="00A3737F" w:rsidRPr="00F25B06" w:rsidRDefault="00A3737F" w:rsidP="00E5037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>A pályázó a tanulmánya</w:t>
      </w:r>
      <w:r w:rsidR="00D41896">
        <w:rPr>
          <w:sz w:val="24"/>
          <w:szCs w:val="24"/>
        </w:rPr>
        <w:t>i</w:t>
      </w:r>
      <w:r w:rsidRPr="00F25B06">
        <w:rPr>
          <w:sz w:val="24"/>
          <w:szCs w:val="24"/>
        </w:rPr>
        <w:t xml:space="preserve"> során</w:t>
      </w:r>
      <w:r w:rsidR="00237638">
        <w:rPr>
          <w:sz w:val="24"/>
          <w:szCs w:val="24"/>
        </w:rPr>
        <w:t>,</w:t>
      </w:r>
      <w:r w:rsidRPr="00F25B06">
        <w:rPr>
          <w:sz w:val="24"/>
          <w:szCs w:val="24"/>
        </w:rPr>
        <w:t xml:space="preserve"> </w:t>
      </w:r>
      <w:r w:rsidR="00D41896">
        <w:rPr>
          <w:sz w:val="24"/>
          <w:szCs w:val="24"/>
        </w:rPr>
        <w:t>szakdolgozatában/diplomad</w:t>
      </w:r>
      <w:r w:rsidR="00F97C14">
        <w:rPr>
          <w:sz w:val="24"/>
          <w:szCs w:val="24"/>
        </w:rPr>
        <w:t>o</w:t>
      </w:r>
      <w:r w:rsidR="00D41896">
        <w:rPr>
          <w:sz w:val="24"/>
          <w:szCs w:val="24"/>
        </w:rPr>
        <w:t>lgozatában és a támogatás segítségével készülő valamennyi publikációjá</w:t>
      </w:r>
      <w:r w:rsidR="00F97C14">
        <w:rPr>
          <w:sz w:val="24"/>
          <w:szCs w:val="24"/>
        </w:rPr>
        <w:t>b</w:t>
      </w:r>
      <w:r w:rsidR="00D41896">
        <w:rPr>
          <w:sz w:val="24"/>
          <w:szCs w:val="24"/>
        </w:rPr>
        <w:t xml:space="preserve">an és megjelenésében </w:t>
      </w:r>
      <w:r w:rsidRPr="00F25B06">
        <w:rPr>
          <w:sz w:val="24"/>
          <w:szCs w:val="24"/>
        </w:rPr>
        <w:t>valamint szakmai önéletrajzába</w:t>
      </w:r>
      <w:r w:rsidR="00F97C14">
        <w:rPr>
          <w:sz w:val="24"/>
          <w:szCs w:val="24"/>
        </w:rPr>
        <w:t>n</w:t>
      </w:r>
      <w:r w:rsidRPr="00F25B06">
        <w:rPr>
          <w:sz w:val="24"/>
          <w:szCs w:val="24"/>
        </w:rPr>
        <w:t xml:space="preserve"> a támogatás tényét feltünteti, a támogató nevét jól láthatóan szerepelteti</w:t>
      </w:r>
      <w:r>
        <w:rPr>
          <w:color w:val="0000FF"/>
          <w:sz w:val="24"/>
          <w:szCs w:val="24"/>
        </w:rPr>
        <w:t>.</w:t>
      </w:r>
    </w:p>
    <w:p w14:paraId="238E960A" w14:textId="15D2F808" w:rsidR="00A3737F" w:rsidRPr="00F25B06" w:rsidRDefault="00A3737F" w:rsidP="002376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25B06">
        <w:rPr>
          <w:b/>
          <w:sz w:val="24"/>
          <w:szCs w:val="24"/>
        </w:rPr>
        <w:lastRenderedPageBreak/>
        <w:t>Pályázat benyújtásához szükséges dokumentumok</w:t>
      </w:r>
    </w:p>
    <w:p w14:paraId="301EBD06" w14:textId="77777777" w:rsidR="00A3737F" w:rsidRPr="00F25B06" w:rsidRDefault="00A3737F" w:rsidP="00E5037D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 xml:space="preserve">Kitöltött </w:t>
      </w:r>
      <w:r w:rsidRPr="0067686E">
        <w:rPr>
          <w:sz w:val="24"/>
          <w:szCs w:val="24"/>
        </w:rPr>
        <w:t xml:space="preserve">pályázati adatlap </w:t>
      </w:r>
      <w:r w:rsidRPr="00F25B06">
        <w:rPr>
          <w:sz w:val="24"/>
          <w:szCs w:val="24"/>
        </w:rPr>
        <w:t>(az adatlap letölthető az A</w:t>
      </w:r>
      <w:r>
        <w:rPr>
          <w:sz w:val="24"/>
          <w:szCs w:val="24"/>
        </w:rPr>
        <w:t>lapítvány honlapjáról);</w:t>
      </w:r>
    </w:p>
    <w:p w14:paraId="26465C48" w14:textId="77777777" w:rsidR="00A3737F" w:rsidRPr="00F25B06" w:rsidRDefault="00A3737F" w:rsidP="00E5037D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>H</w:t>
      </w:r>
      <w:r>
        <w:rPr>
          <w:sz w:val="24"/>
          <w:szCs w:val="24"/>
        </w:rPr>
        <w:t>iteles leckekönyv-másolat;</w:t>
      </w:r>
    </w:p>
    <w:p w14:paraId="744F0C79" w14:textId="77777777" w:rsidR="00A3737F" w:rsidRPr="00F25B06" w:rsidRDefault="00A3737F" w:rsidP="00E5037D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25B06">
        <w:rPr>
          <w:sz w:val="24"/>
          <w:szCs w:val="24"/>
        </w:rPr>
        <w:t xml:space="preserve">A szakdolgozat készítésére kidolgozott </w:t>
      </w:r>
      <w:r w:rsidRPr="0067686E">
        <w:rPr>
          <w:sz w:val="24"/>
          <w:szCs w:val="24"/>
        </w:rPr>
        <w:t>program- és költségterv</w:t>
      </w:r>
      <w:r>
        <w:rPr>
          <w:sz w:val="24"/>
          <w:szCs w:val="24"/>
        </w:rPr>
        <w:t>;</w:t>
      </w:r>
    </w:p>
    <w:p w14:paraId="179E6164" w14:textId="77777777" w:rsidR="00A3737F" w:rsidRPr="00313EC2" w:rsidRDefault="00A3737F" w:rsidP="00E5037D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313EC2">
        <w:rPr>
          <w:sz w:val="24"/>
          <w:szCs w:val="24"/>
        </w:rPr>
        <w:t>Igazolás egyetemi szociális ösztöndíj odaítéléséről (amennyiben van);</w:t>
      </w:r>
    </w:p>
    <w:p w14:paraId="320AEE4E" w14:textId="77777777" w:rsidR="00A3737F" w:rsidRPr="00F25B06" w:rsidRDefault="00A3737F" w:rsidP="00E5037D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Téma-, szak-, vagy intézetvezetői</w:t>
      </w:r>
      <w:r w:rsidRPr="00F25B06">
        <w:rPr>
          <w:sz w:val="24"/>
          <w:szCs w:val="24"/>
        </w:rPr>
        <w:t xml:space="preserve"> ajánlás a támogatásra.</w:t>
      </w:r>
    </w:p>
    <w:p w14:paraId="6864E9EB" w14:textId="77777777" w:rsidR="00A3737F" w:rsidRPr="00F25B06" w:rsidRDefault="00A3737F" w:rsidP="00C1107E">
      <w:p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b/>
          <w:sz w:val="24"/>
          <w:szCs w:val="24"/>
        </w:rPr>
        <w:t>Támogatási lehetőségek, elszámolási rend</w:t>
      </w:r>
    </w:p>
    <w:p w14:paraId="026ED66F" w14:textId="77777777" w:rsidR="00A3737F" w:rsidRPr="00F25B06" w:rsidRDefault="00A3737F" w:rsidP="00E5037D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sz w:val="24"/>
          <w:szCs w:val="24"/>
          <w:lang w:eastAsia="hu-HU"/>
        </w:rPr>
        <w:t xml:space="preserve">Csak aktív hallgatói státuszban a beiratkozott </w:t>
      </w:r>
      <w:r>
        <w:rPr>
          <w:sz w:val="24"/>
          <w:szCs w:val="24"/>
          <w:lang w:eastAsia="hu-HU"/>
        </w:rPr>
        <w:t>félévben jár támogatás;</w:t>
      </w:r>
    </w:p>
    <w:p w14:paraId="71250FAD" w14:textId="77777777" w:rsidR="00A3737F" w:rsidRPr="00F25B06" w:rsidRDefault="00A3737F" w:rsidP="00E5037D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sz w:val="24"/>
          <w:szCs w:val="24"/>
          <w:lang w:eastAsia="hu-HU"/>
        </w:rPr>
        <w:t>A nyertes pályázatban szereplő, a szakdolgozat célját szolgáló utazási költség számolható el</w:t>
      </w:r>
      <w:r w:rsidRPr="00F25B06">
        <w:rPr>
          <w:bCs/>
          <w:iCs/>
          <w:sz w:val="24"/>
          <w:szCs w:val="24"/>
        </w:rPr>
        <w:t xml:space="preserve"> (eljárási rend szerint)</w:t>
      </w:r>
      <w:r>
        <w:rPr>
          <w:sz w:val="24"/>
          <w:szCs w:val="24"/>
          <w:lang w:eastAsia="hu-HU"/>
        </w:rPr>
        <w:t>,</w:t>
      </w:r>
    </w:p>
    <w:p w14:paraId="35D75843" w14:textId="7562A76B" w:rsidR="00A3737F" w:rsidRPr="00F25B06" w:rsidRDefault="00A3737F" w:rsidP="00E5037D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sz w:val="24"/>
          <w:szCs w:val="24"/>
          <w:lang w:eastAsia="hu-HU"/>
        </w:rPr>
        <w:t>A nyertes pályázatban szereplő, a szakdolgozat célját szolgáló labor-, vizsgál</w:t>
      </w:r>
      <w:r>
        <w:rPr>
          <w:sz w:val="24"/>
          <w:szCs w:val="24"/>
          <w:lang w:eastAsia="hu-HU"/>
        </w:rPr>
        <w:t>ati költség</w:t>
      </w:r>
      <w:r w:rsidR="00D41896">
        <w:rPr>
          <w:sz w:val="24"/>
          <w:szCs w:val="24"/>
          <w:lang w:eastAsia="hu-HU"/>
        </w:rPr>
        <w:t xml:space="preserve"> (dologi)</w:t>
      </w:r>
      <w:r w:rsidRPr="00F25B06">
        <w:rPr>
          <w:sz w:val="24"/>
          <w:szCs w:val="24"/>
          <w:lang w:eastAsia="hu-HU"/>
        </w:rPr>
        <w:t xml:space="preserve"> stb. számolható el</w:t>
      </w:r>
      <w:r w:rsidRPr="00F25B06">
        <w:rPr>
          <w:bCs/>
          <w:iCs/>
          <w:sz w:val="24"/>
          <w:szCs w:val="24"/>
        </w:rPr>
        <w:t xml:space="preserve"> (eljárási rend szerint)</w:t>
      </w:r>
      <w:r>
        <w:rPr>
          <w:sz w:val="24"/>
          <w:szCs w:val="24"/>
          <w:lang w:eastAsia="hu-HU"/>
        </w:rPr>
        <w:t>,</w:t>
      </w:r>
    </w:p>
    <w:p w14:paraId="2161C8D9" w14:textId="77777777" w:rsidR="00A3737F" w:rsidRPr="008A1CF4" w:rsidRDefault="00A3737F" w:rsidP="00E5037D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b/>
          <w:sz w:val="24"/>
          <w:szCs w:val="24"/>
        </w:rPr>
      </w:pPr>
      <w:r w:rsidRPr="00F25B06">
        <w:rPr>
          <w:sz w:val="24"/>
          <w:szCs w:val="24"/>
          <w:lang w:eastAsia="hu-HU"/>
        </w:rPr>
        <w:t xml:space="preserve">A nyertes pályázatban szereplő, </w:t>
      </w:r>
      <w:r>
        <w:rPr>
          <w:sz w:val="24"/>
          <w:szCs w:val="24"/>
          <w:lang w:eastAsia="hu-HU"/>
        </w:rPr>
        <w:t xml:space="preserve">eszközök, adatbázisok </w:t>
      </w:r>
      <w:r w:rsidRPr="00F25B06">
        <w:rPr>
          <w:sz w:val="24"/>
          <w:szCs w:val="24"/>
          <w:lang w:eastAsia="hu-HU"/>
        </w:rPr>
        <w:t>bocsájthat</w:t>
      </w:r>
      <w:r>
        <w:rPr>
          <w:sz w:val="24"/>
          <w:szCs w:val="24"/>
          <w:lang w:eastAsia="hu-HU"/>
        </w:rPr>
        <w:t>óak előre rögzített időtartamra</w:t>
      </w:r>
      <w:r w:rsidRPr="00F25B06">
        <w:rPr>
          <w:sz w:val="24"/>
          <w:szCs w:val="24"/>
          <w:lang w:eastAsia="hu-HU"/>
        </w:rPr>
        <w:t xml:space="preserve"> a pályázó rendelkezésére </w:t>
      </w:r>
      <w:r w:rsidRPr="00F25B06">
        <w:rPr>
          <w:bCs/>
          <w:iCs/>
          <w:sz w:val="24"/>
          <w:szCs w:val="24"/>
        </w:rPr>
        <w:t>(külön bérbeadási szerződéssel)</w:t>
      </w:r>
      <w:r>
        <w:rPr>
          <w:sz w:val="24"/>
          <w:szCs w:val="24"/>
          <w:lang w:eastAsia="hu-HU"/>
        </w:rPr>
        <w:t>.</w:t>
      </w:r>
    </w:p>
    <w:p w14:paraId="3F6303C0" w14:textId="77777777" w:rsidR="00A3737F" w:rsidRDefault="00A3737F" w:rsidP="00C1107E">
      <w:pPr>
        <w:spacing w:after="120" w:line="360" w:lineRule="auto"/>
        <w:jc w:val="both"/>
        <w:rPr>
          <w:b/>
          <w:sz w:val="24"/>
          <w:szCs w:val="24"/>
          <w:lang w:eastAsia="hu-HU"/>
        </w:rPr>
      </w:pPr>
      <w:r w:rsidRPr="00AD7374">
        <w:rPr>
          <w:b/>
          <w:sz w:val="24"/>
          <w:szCs w:val="24"/>
          <w:lang w:eastAsia="hu-HU"/>
        </w:rPr>
        <w:t>A pályázat</w:t>
      </w:r>
      <w:r>
        <w:rPr>
          <w:b/>
          <w:sz w:val="24"/>
          <w:szCs w:val="24"/>
          <w:lang w:eastAsia="hu-HU"/>
        </w:rPr>
        <w:t xml:space="preserve">ok benyújtását </w:t>
      </w:r>
      <w:r w:rsidRPr="00313EC2">
        <w:rPr>
          <w:b/>
          <w:sz w:val="24"/>
          <w:szCs w:val="24"/>
          <w:lang w:eastAsia="hu-HU"/>
        </w:rPr>
        <w:t>folyamatosan várjuk.</w:t>
      </w:r>
      <w:r>
        <w:rPr>
          <w:b/>
          <w:sz w:val="24"/>
          <w:szCs w:val="24"/>
          <w:lang w:eastAsia="hu-HU"/>
        </w:rPr>
        <w:t xml:space="preserve"> </w:t>
      </w:r>
    </w:p>
    <w:p w14:paraId="5493AB33" w14:textId="0F4DBE3E" w:rsidR="00A3737F" w:rsidRPr="00AD7374" w:rsidRDefault="00A3737F" w:rsidP="00C1107E">
      <w:pPr>
        <w:spacing w:after="120" w:line="360" w:lineRule="auto"/>
        <w:jc w:val="both"/>
        <w:rPr>
          <w:sz w:val="24"/>
          <w:szCs w:val="24"/>
        </w:rPr>
      </w:pPr>
      <w:r w:rsidRPr="002E286E">
        <w:rPr>
          <w:b/>
          <w:color w:val="444444"/>
          <w:sz w:val="24"/>
          <w:szCs w:val="24"/>
          <w:lang w:eastAsia="hu-HU"/>
        </w:rPr>
        <w:t>Egyebek</w:t>
      </w:r>
      <w:r w:rsidRPr="002E286E">
        <w:rPr>
          <w:color w:val="444444"/>
          <w:sz w:val="24"/>
          <w:szCs w:val="24"/>
          <w:lang w:eastAsia="hu-HU"/>
        </w:rPr>
        <w:br/>
      </w:r>
      <w:r>
        <w:rPr>
          <w:sz w:val="24"/>
          <w:szCs w:val="24"/>
          <w:lang w:eastAsia="hu-HU"/>
        </w:rPr>
        <w:t>A pályázatot elektronikusan</w:t>
      </w:r>
      <w:r w:rsidRPr="00C56C37">
        <w:rPr>
          <w:sz w:val="24"/>
          <w:szCs w:val="24"/>
          <w:lang w:eastAsia="hu-HU"/>
        </w:rPr>
        <w:t xml:space="preserve"> kell benyújtani </w:t>
      </w:r>
      <w:r>
        <w:rPr>
          <w:sz w:val="24"/>
          <w:szCs w:val="24"/>
          <w:lang w:eastAsia="hu-HU"/>
        </w:rPr>
        <w:t xml:space="preserve">az </w:t>
      </w:r>
      <w:hyperlink r:id="rId8" w:history="1">
        <w:r w:rsidRPr="005D0D88">
          <w:rPr>
            <w:rStyle w:val="Hiperhivatkozs"/>
            <w:sz w:val="24"/>
            <w:szCs w:val="24"/>
            <w:lang w:eastAsia="hu-HU"/>
          </w:rPr>
          <w:t>info@smartemisconservation.com</w:t>
        </w:r>
      </w:hyperlink>
      <w:r>
        <w:rPr>
          <w:sz w:val="24"/>
          <w:szCs w:val="24"/>
          <w:lang w:eastAsia="hu-HU"/>
        </w:rPr>
        <w:t xml:space="preserve"> email címre</w:t>
      </w:r>
      <w:r>
        <w:rPr>
          <w:color w:val="444444"/>
          <w:sz w:val="24"/>
          <w:szCs w:val="24"/>
          <w:lang w:eastAsia="hu-HU"/>
        </w:rPr>
        <w:t xml:space="preserve">. </w:t>
      </w:r>
      <w:r w:rsidRPr="00C56C37">
        <w:rPr>
          <w:sz w:val="24"/>
          <w:szCs w:val="24"/>
          <w:lang w:eastAsia="hu-HU"/>
        </w:rPr>
        <w:t>Az Alapítvány</w:t>
      </w:r>
      <w:r w:rsidRPr="00D9176D">
        <w:rPr>
          <w:sz w:val="24"/>
          <w:szCs w:val="24"/>
          <w:lang w:eastAsia="hu-HU"/>
        </w:rPr>
        <w:t xml:space="preserve"> a p</w:t>
      </w:r>
      <w:r w:rsidRPr="00C56C37">
        <w:rPr>
          <w:sz w:val="24"/>
          <w:szCs w:val="24"/>
          <w:lang w:eastAsia="hu-HU"/>
        </w:rPr>
        <w:t>ályázatot elnyert hallgatóval támogatási</w:t>
      </w:r>
      <w:r w:rsidRPr="00D9176D">
        <w:rPr>
          <w:sz w:val="24"/>
          <w:szCs w:val="24"/>
          <w:lang w:eastAsia="hu-HU"/>
        </w:rPr>
        <w:t xml:space="preserve"> szerződést köt, amelyben a szerződést kötő felek a következőkben állapodnak meg: </w:t>
      </w:r>
    </w:p>
    <w:p w14:paraId="401BA42F" w14:textId="77777777" w:rsidR="00A3737F" w:rsidRPr="00D9176D" w:rsidRDefault="00A3737F" w:rsidP="00E5037D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eastAsia="hu-HU"/>
        </w:rPr>
      </w:pPr>
      <w:r w:rsidRPr="00C56C37">
        <w:rPr>
          <w:sz w:val="24"/>
          <w:szCs w:val="24"/>
          <w:lang w:eastAsia="hu-HU"/>
        </w:rPr>
        <w:t>A pályázó</w:t>
      </w:r>
      <w:r w:rsidRPr="00D9176D">
        <w:rPr>
          <w:sz w:val="24"/>
          <w:szCs w:val="24"/>
          <w:lang w:eastAsia="hu-HU"/>
        </w:rPr>
        <w:t xml:space="preserve"> kötelezi magát </w:t>
      </w:r>
      <w:r w:rsidRPr="00C56C37">
        <w:rPr>
          <w:sz w:val="24"/>
          <w:szCs w:val="24"/>
          <w:lang w:eastAsia="hu-HU"/>
        </w:rPr>
        <w:t xml:space="preserve">a benyújtott és elnyert </w:t>
      </w:r>
      <w:r>
        <w:rPr>
          <w:sz w:val="24"/>
          <w:szCs w:val="24"/>
          <w:lang w:eastAsia="hu-HU"/>
        </w:rPr>
        <w:t xml:space="preserve">kutatás a </w:t>
      </w:r>
      <w:r w:rsidRPr="0067686E">
        <w:rPr>
          <w:sz w:val="24"/>
          <w:szCs w:val="24"/>
          <w:lang w:eastAsia="hu-HU"/>
        </w:rPr>
        <w:t xml:space="preserve">pályázatban szereplő </w:t>
      </w:r>
      <w:r>
        <w:rPr>
          <w:sz w:val="24"/>
          <w:szCs w:val="24"/>
          <w:lang w:eastAsia="hu-HU"/>
        </w:rPr>
        <w:t xml:space="preserve">kutatási terv és </w:t>
      </w:r>
      <w:r w:rsidRPr="0067686E">
        <w:rPr>
          <w:sz w:val="24"/>
          <w:szCs w:val="24"/>
          <w:lang w:eastAsia="hu-HU"/>
        </w:rPr>
        <w:t xml:space="preserve">ütemterv szerinti </w:t>
      </w:r>
      <w:r w:rsidRPr="00C56C37">
        <w:rPr>
          <w:sz w:val="24"/>
          <w:szCs w:val="24"/>
          <w:lang w:eastAsia="hu-HU"/>
        </w:rPr>
        <w:t xml:space="preserve">megvalósítására; </w:t>
      </w:r>
    </w:p>
    <w:p w14:paraId="7F76850C" w14:textId="77777777" w:rsidR="00A3737F" w:rsidRPr="00C64B5F" w:rsidRDefault="00A3737F" w:rsidP="00E5037D">
      <w:pPr>
        <w:numPr>
          <w:ilvl w:val="0"/>
          <w:numId w:val="18"/>
        </w:numPr>
        <w:spacing w:after="0" w:line="360" w:lineRule="auto"/>
        <w:jc w:val="both"/>
        <w:rPr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>A pályázó vállalja, hogy a számára biztosított támogatáson túl a szakdolgozat megvalósításához szükséges egyéb felmerülő költségeket fedezi;</w:t>
      </w:r>
    </w:p>
    <w:p w14:paraId="00DB25BC" w14:textId="30434482" w:rsidR="00A3737F" w:rsidRPr="00C64B5F" w:rsidRDefault="00A3737F" w:rsidP="00E5037D">
      <w:pPr>
        <w:numPr>
          <w:ilvl w:val="0"/>
          <w:numId w:val="18"/>
        </w:numPr>
        <w:spacing w:after="0" w:line="360" w:lineRule="auto"/>
        <w:jc w:val="both"/>
        <w:rPr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 xml:space="preserve">A pályázónak félévenkénti előrehaladási jelentés leadási kötelezettsége van, és amennyiben az Alapítvány Kuratóriuma nem látja biztosítottnak a kutatási cél elérését, a további támogatás folyósításától külön indokolás nélkül elállhat; </w:t>
      </w:r>
    </w:p>
    <w:p w14:paraId="724340E3" w14:textId="1FA7F711" w:rsidR="00A3737F" w:rsidRPr="00C64B5F" w:rsidRDefault="00A3737F" w:rsidP="00E5037D">
      <w:pPr>
        <w:numPr>
          <w:ilvl w:val="0"/>
          <w:numId w:val="18"/>
        </w:numPr>
        <w:spacing w:after="0" w:line="360" w:lineRule="auto"/>
        <w:jc w:val="both"/>
        <w:rPr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 xml:space="preserve">A megvalósítás időtartama 1 év, de a pályázat időtartama indokolt esetben további 1 évvel meghosszabbítható; </w:t>
      </w:r>
    </w:p>
    <w:p w14:paraId="191D2906" w14:textId="14735C26" w:rsidR="00A3737F" w:rsidRPr="00C64B5F" w:rsidRDefault="00A3737F" w:rsidP="00E5037D">
      <w:pPr>
        <w:numPr>
          <w:ilvl w:val="0"/>
          <w:numId w:val="19"/>
        </w:numPr>
        <w:spacing w:after="0" w:line="360" w:lineRule="auto"/>
        <w:jc w:val="both"/>
        <w:rPr>
          <w:strike/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>A szakdolgozat</w:t>
      </w:r>
      <w:r w:rsidR="00237638" w:rsidRPr="00C64B5F">
        <w:rPr>
          <w:color w:val="000000"/>
          <w:sz w:val="24"/>
          <w:szCs w:val="24"/>
          <w:lang w:eastAsia="hu-HU"/>
        </w:rPr>
        <w:t>,</w:t>
      </w:r>
      <w:r w:rsidRPr="00C64B5F">
        <w:rPr>
          <w:color w:val="000000"/>
          <w:sz w:val="24"/>
          <w:szCs w:val="24"/>
          <w:lang w:eastAsia="hu-HU"/>
        </w:rPr>
        <w:t xml:space="preserve"> mint tudományos munka hazai vagy nemzetközi nyilvános megmérettetése esetén (publikációk, tudományos diákköri dolgozat, nemzetközi vagy hazai versenyeken való részvétel, nemzetközi vagy hazai tudományos konferenciákon </w:t>
      </w:r>
      <w:r w:rsidRPr="00C64B5F">
        <w:rPr>
          <w:color w:val="000000"/>
          <w:sz w:val="24"/>
          <w:szCs w:val="24"/>
          <w:lang w:eastAsia="hu-HU"/>
        </w:rPr>
        <w:lastRenderedPageBreak/>
        <w:t xml:space="preserve">való részvétel stb.) a pályázót a Kuratórium egyszeri külön pénzjutalomban részesítheti. </w:t>
      </w:r>
    </w:p>
    <w:p w14:paraId="5E10BEDF" w14:textId="77777777" w:rsidR="00D41896" w:rsidRDefault="00A3737F" w:rsidP="00F25B06">
      <w:pP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>A benyújtott pályázatot az Alapítvány Kuratóriuma bírálja el a beadott dokumentumok és a szóbeli elbeszélgetés alapján. Az odaítélt támogatást az Alapítvány kuratóriuma hagyja jóvá. A bírálatkor figyelembe kell venni az Alapítvány és a felsőoktatási intézmény szakmai célkitűzéseit, a hallgató által benyújtott pályázat minőségét, az abban megfogalmazott célok szakmai és tudományos mivoltát, a költségterv realitását. Ezeken túl a hallgató eddigi tudományos, szakmai (publikációk, tudományos diákköri dolgozat, nemzetközi és hazai versenyeken való részvétel</w:t>
      </w:r>
      <w:r w:rsidR="00237638" w:rsidRPr="00C64B5F">
        <w:rPr>
          <w:color w:val="000000"/>
          <w:sz w:val="24"/>
          <w:szCs w:val="24"/>
          <w:lang w:eastAsia="hu-HU"/>
        </w:rPr>
        <w:t xml:space="preserve"> </w:t>
      </w:r>
      <w:r w:rsidRPr="00C64B5F">
        <w:rPr>
          <w:color w:val="000000"/>
          <w:sz w:val="24"/>
          <w:szCs w:val="24"/>
          <w:lang w:eastAsia="hu-HU"/>
        </w:rPr>
        <w:t>stb.) és hallgatói közéleti (szakkollégiumi tevékenység, közéleti, közösségi tevékenysége stb.) tevékenységét</w:t>
      </w:r>
      <w:r w:rsidR="008F1F8F">
        <w:rPr>
          <w:color w:val="000000"/>
          <w:sz w:val="24"/>
          <w:szCs w:val="24"/>
          <w:lang w:eastAsia="hu-HU"/>
        </w:rPr>
        <w:t>,</w:t>
      </w:r>
      <w:r w:rsidRPr="00C64B5F">
        <w:rPr>
          <w:color w:val="000000"/>
          <w:sz w:val="24"/>
          <w:szCs w:val="24"/>
          <w:lang w:eastAsia="hu-HU"/>
        </w:rPr>
        <w:t xml:space="preserve"> valamint szociális helyzetét. </w:t>
      </w:r>
    </w:p>
    <w:p w14:paraId="0EBB810E" w14:textId="07D97E18" w:rsidR="00A3737F" w:rsidRPr="00C64B5F" w:rsidRDefault="00A3737F" w:rsidP="00F25B06">
      <w:pP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>A támogatás célja, hogy a hallgató szakmai és tudományos szempontból releváns, jó minőségű szakdolgozatot nyújtson be a fogadó intézménybe</w:t>
      </w:r>
      <w:r w:rsidR="0024256E">
        <w:rPr>
          <w:color w:val="000000"/>
          <w:sz w:val="24"/>
          <w:szCs w:val="24"/>
          <w:lang w:eastAsia="hu-HU"/>
        </w:rPr>
        <w:t>n</w:t>
      </w:r>
      <w:r w:rsidRPr="00C64B5F">
        <w:rPr>
          <w:color w:val="000000"/>
          <w:sz w:val="24"/>
          <w:szCs w:val="24"/>
          <w:lang w:eastAsia="hu-HU"/>
        </w:rPr>
        <w:t xml:space="preserve"> és ott magas szintű szóbeli védésen mutassa azt be. A szakdolgozat készítés járulékos hozamaként a hallgató szélesebb tudományos rálátásra, szakmai igényességre, jó előadói készségre tegyen szert, ezt a tapasztalatot pedig későbbi munkája során minél szélesebb körben alkalmazhassa és kamatoztathassa.</w:t>
      </w:r>
      <w:r w:rsidRPr="00C64B5F">
        <w:rPr>
          <w:color w:val="000000"/>
          <w:sz w:val="24"/>
          <w:szCs w:val="24"/>
        </w:rPr>
        <w:t xml:space="preserve"> </w:t>
      </w:r>
    </w:p>
    <w:p w14:paraId="4A52C090" w14:textId="6441BFF0" w:rsidR="00A3737F" w:rsidRDefault="00A3737F" w:rsidP="003304AE">
      <w:pPr>
        <w:spacing w:after="0" w:line="360" w:lineRule="auto"/>
        <w:ind w:firstLine="708"/>
        <w:jc w:val="both"/>
        <w:rPr>
          <w:sz w:val="24"/>
          <w:szCs w:val="24"/>
          <w:lang w:eastAsia="hu-HU"/>
        </w:rPr>
      </w:pPr>
      <w:r w:rsidRPr="00C64B5F">
        <w:rPr>
          <w:color w:val="000000"/>
          <w:sz w:val="24"/>
          <w:szCs w:val="24"/>
          <w:lang w:eastAsia="hu-HU"/>
        </w:rPr>
        <w:t>A pályázati kiírás és feltételek letölthetőek</w:t>
      </w:r>
      <w:r>
        <w:rPr>
          <w:color w:val="444444"/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a </w:t>
      </w:r>
      <w:r w:rsidRPr="00C56C37">
        <w:rPr>
          <w:sz w:val="24"/>
          <w:szCs w:val="24"/>
          <w:lang w:eastAsia="hu-HU"/>
        </w:rPr>
        <w:t xml:space="preserve">Fauna </w:t>
      </w:r>
      <w:r>
        <w:rPr>
          <w:sz w:val="24"/>
          <w:szCs w:val="24"/>
          <w:lang w:eastAsia="hu-HU"/>
        </w:rPr>
        <w:t>és Flóra Alapítvány honlapjáról</w:t>
      </w:r>
      <w:r w:rsidRPr="00C56C37">
        <w:rPr>
          <w:sz w:val="24"/>
          <w:szCs w:val="24"/>
          <w:lang w:eastAsia="hu-HU"/>
        </w:rPr>
        <w:t xml:space="preserve"> (</w:t>
      </w:r>
      <w:r w:rsidRPr="003304AE">
        <w:rPr>
          <w:sz w:val="24"/>
          <w:szCs w:val="24"/>
          <w:lang w:eastAsia="hu-HU"/>
        </w:rPr>
        <w:t>www.</w:t>
      </w:r>
      <w:r>
        <w:rPr>
          <w:sz w:val="24"/>
          <w:szCs w:val="24"/>
          <w:lang w:eastAsia="hu-HU"/>
        </w:rPr>
        <w:t>smartemisconservation.com</w:t>
      </w:r>
      <w:r w:rsidRPr="00C56C37">
        <w:rPr>
          <w:sz w:val="24"/>
          <w:szCs w:val="24"/>
          <w:lang w:eastAsia="hu-HU"/>
        </w:rPr>
        <w:t>)</w:t>
      </w:r>
      <w:r w:rsidRPr="00D9176D">
        <w:rPr>
          <w:sz w:val="24"/>
          <w:szCs w:val="24"/>
          <w:lang w:eastAsia="hu-HU"/>
        </w:rPr>
        <w:t>, illetve</w:t>
      </w:r>
      <w:r>
        <w:rPr>
          <w:sz w:val="24"/>
          <w:szCs w:val="24"/>
          <w:lang w:eastAsia="hu-HU"/>
        </w:rPr>
        <w:t xml:space="preserve"> a Soproni Egyetem Erdőmérnöki Karának honlapjáról</w:t>
      </w:r>
      <w:r w:rsidRPr="00D9176D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(</w:t>
      </w:r>
      <w:hyperlink r:id="rId9" w:history="1">
        <w:r w:rsidRPr="005D0D88">
          <w:rPr>
            <w:rStyle w:val="Hiperhivatkozs"/>
            <w:sz w:val="24"/>
            <w:szCs w:val="24"/>
            <w:lang w:eastAsia="hu-HU"/>
          </w:rPr>
          <w:t>www.emk.uni-sopron.hu</w:t>
        </w:r>
      </w:hyperlink>
      <w:r>
        <w:rPr>
          <w:sz w:val="24"/>
          <w:szCs w:val="24"/>
          <w:lang w:eastAsia="hu-HU"/>
        </w:rPr>
        <w:t xml:space="preserve">) és a </w:t>
      </w:r>
      <w:r w:rsidRPr="000E053E">
        <w:rPr>
          <w:sz w:val="24"/>
          <w:szCs w:val="24"/>
          <w:lang w:eastAsia="hu-HU"/>
        </w:rPr>
        <w:t>Magyar Agrár- és Élettudományi Egyetem</w:t>
      </w:r>
      <w:r>
        <w:rPr>
          <w:sz w:val="24"/>
          <w:szCs w:val="24"/>
          <w:lang w:eastAsia="hu-HU"/>
        </w:rPr>
        <w:t xml:space="preserve"> </w:t>
      </w:r>
      <w:r w:rsidRPr="00496818">
        <w:rPr>
          <w:sz w:val="24"/>
          <w:szCs w:val="24"/>
          <w:lang w:eastAsia="hu-HU"/>
        </w:rPr>
        <w:t>honlapjáról (</w:t>
      </w:r>
      <w:hyperlink r:id="rId10" w:history="1">
        <w:r w:rsidR="00496818" w:rsidRPr="00243643">
          <w:rPr>
            <w:rStyle w:val="Hiperhivatkozs"/>
            <w:sz w:val="24"/>
            <w:szCs w:val="24"/>
            <w:lang w:eastAsia="hu-HU"/>
          </w:rPr>
          <w:t>https://godollo.uni-mate.hu/hu/oktatas/szakdolgozat</w:t>
        </w:r>
      </w:hyperlink>
      <w:r w:rsidRPr="00496818">
        <w:rPr>
          <w:sz w:val="24"/>
          <w:szCs w:val="24"/>
          <w:lang w:eastAsia="hu-HU"/>
        </w:rPr>
        <w:t>)</w:t>
      </w:r>
    </w:p>
    <w:p w14:paraId="63B24348" w14:textId="77777777" w:rsidR="00A3737F" w:rsidRDefault="00A3737F" w:rsidP="00C1107E">
      <w:pPr>
        <w:spacing w:before="240" w:after="0" w:line="360" w:lineRule="auto"/>
        <w:jc w:val="both"/>
        <w:rPr>
          <w:sz w:val="24"/>
          <w:szCs w:val="24"/>
          <w:lang w:eastAsia="hu-HU"/>
        </w:rPr>
      </w:pPr>
      <w:r w:rsidRPr="00DC61C2">
        <w:rPr>
          <w:b/>
          <w:sz w:val="24"/>
          <w:szCs w:val="24"/>
          <w:lang w:eastAsia="hu-HU"/>
        </w:rPr>
        <w:t>A pályázat kapcsolattartója:</w:t>
      </w:r>
      <w:r>
        <w:rPr>
          <w:sz w:val="24"/>
          <w:szCs w:val="24"/>
          <w:lang w:eastAsia="hu-HU"/>
        </w:rPr>
        <w:t xml:space="preserve"> </w:t>
      </w:r>
    </w:p>
    <w:p w14:paraId="02EAEB99" w14:textId="1EB80CE2" w:rsidR="00A3737F" w:rsidRDefault="00A3737F" w:rsidP="00237638">
      <w:pPr>
        <w:spacing w:after="120" w:line="240" w:lineRule="auto"/>
        <w:ind w:left="709"/>
        <w:jc w:val="both"/>
        <w:rPr>
          <w:sz w:val="24"/>
          <w:szCs w:val="24"/>
          <w:lang w:eastAsia="hu-HU"/>
        </w:rPr>
      </w:pPr>
      <w:r w:rsidRPr="00C1107E">
        <w:rPr>
          <w:i/>
          <w:iCs/>
          <w:sz w:val="24"/>
          <w:szCs w:val="24"/>
          <w:lang w:eastAsia="hu-HU"/>
        </w:rPr>
        <w:t>Fauna és Flóra Alapítvány:</w:t>
      </w:r>
      <w:r>
        <w:rPr>
          <w:sz w:val="24"/>
          <w:szCs w:val="24"/>
          <w:lang w:eastAsia="hu-HU"/>
        </w:rPr>
        <w:t xml:space="preserve"> </w:t>
      </w:r>
      <w:r w:rsidRPr="00C1107E">
        <w:rPr>
          <w:sz w:val="24"/>
          <w:szCs w:val="24"/>
          <w:lang w:eastAsia="hu-HU"/>
        </w:rPr>
        <w:t>Gaál Dorottya</w:t>
      </w:r>
      <w:r>
        <w:rPr>
          <w:sz w:val="24"/>
          <w:szCs w:val="24"/>
          <w:lang w:eastAsia="hu-HU"/>
        </w:rPr>
        <w:t xml:space="preserve"> (tel: 00 36 20 310 8008, </w:t>
      </w:r>
      <w:r w:rsidRPr="00DC61C2">
        <w:rPr>
          <w:sz w:val="24"/>
          <w:szCs w:val="24"/>
          <w:lang w:eastAsia="hu-HU"/>
        </w:rPr>
        <w:t xml:space="preserve">e-mail: </w:t>
      </w:r>
      <w:hyperlink r:id="rId11" w:history="1">
        <w:r w:rsidRPr="005D0D88">
          <w:rPr>
            <w:rStyle w:val="Hiperhivatkozs"/>
            <w:sz w:val="24"/>
            <w:szCs w:val="24"/>
            <w:lang w:eastAsia="hu-HU"/>
          </w:rPr>
          <w:t>dorottya@smartemisconservation.com</w:t>
        </w:r>
      </w:hyperlink>
      <w:r>
        <w:rPr>
          <w:sz w:val="24"/>
          <w:szCs w:val="24"/>
          <w:lang w:eastAsia="hu-HU"/>
        </w:rPr>
        <w:t>).</w:t>
      </w:r>
    </w:p>
    <w:p w14:paraId="50DAC57C" w14:textId="2F699743" w:rsidR="00A3737F" w:rsidRDefault="00A3737F" w:rsidP="00237638">
      <w:pPr>
        <w:rPr>
          <w:b/>
        </w:rPr>
      </w:pPr>
      <w:r>
        <w:rPr>
          <w:b/>
        </w:rPr>
        <w:br w:type="page"/>
      </w:r>
      <w:r w:rsidRPr="00F568A4">
        <w:rPr>
          <w:b/>
        </w:rPr>
        <w:lastRenderedPageBreak/>
        <w:t>PÁLYÁZATI ADATLAP</w:t>
      </w:r>
    </w:p>
    <w:p w14:paraId="73D6FCCD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Pályázó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6785"/>
      </w:tblGrid>
      <w:tr w:rsidR="00A3737F" w:rsidRPr="00084804" w14:paraId="1C68A8DC" w14:textId="77777777" w:rsidTr="00084804"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D426E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Neve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A367A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66E957F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2BEC9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Születési dátuma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DFE0E12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FDF4C9F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9CB27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Születési helye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04A382D8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7039927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B336D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Állampolgársága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6B4090E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35113E29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73FAA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NEPTUN kódja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6F2361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9448D1A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7AC4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Telefonszáma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6894A32B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E0674B3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5E82D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e-mail címe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008D600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72543BB3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7C16F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Állandó lakcíme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C8480F7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1F8B438C" w14:textId="77777777" w:rsidTr="00084804"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362B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Levelezési címe</w:t>
            </w:r>
          </w:p>
        </w:tc>
        <w:tc>
          <w:tcPr>
            <w:tcW w:w="6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D81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3CAB01E4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</w:p>
    <w:p w14:paraId="07744BDE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Lezárt és folyamatban lévő felsőfokú tanulmányok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574"/>
      </w:tblGrid>
      <w:tr w:rsidR="00A3737F" w:rsidRPr="00084804" w14:paraId="2BF290F0" w14:textId="77777777" w:rsidTr="00084804"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F346E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Tanulmányok (szakok)</w:t>
            </w:r>
            <w:r w:rsidRPr="00084804">
              <w:rPr>
                <w:color w:val="auto"/>
              </w:rPr>
              <w:tab/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B1CF3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Időtartam (-</w:t>
            </w:r>
            <w:proofErr w:type="spellStart"/>
            <w:r w:rsidRPr="00084804">
              <w:rPr>
                <w:color w:val="auto"/>
              </w:rPr>
              <w:t>tól</w:t>
            </w:r>
            <w:proofErr w:type="spellEnd"/>
            <w:r w:rsidRPr="00084804">
              <w:rPr>
                <w:color w:val="auto"/>
              </w:rPr>
              <w:t>, -</w:t>
            </w:r>
            <w:proofErr w:type="spellStart"/>
            <w:r w:rsidRPr="00084804">
              <w:rPr>
                <w:color w:val="auto"/>
              </w:rPr>
              <w:t>ig</w:t>
            </w:r>
            <w:proofErr w:type="spellEnd"/>
            <w:r w:rsidRPr="00084804">
              <w:rPr>
                <w:color w:val="auto"/>
              </w:rPr>
              <w:t>)</w:t>
            </w:r>
          </w:p>
        </w:tc>
      </w:tr>
      <w:tr w:rsidR="00A3737F" w:rsidRPr="00084804" w14:paraId="7D127EE3" w14:textId="77777777" w:rsidTr="00084804">
        <w:tc>
          <w:tcPr>
            <w:tcW w:w="4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F080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2C669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771B2179" w14:textId="77777777" w:rsidTr="00084804">
        <w:tc>
          <w:tcPr>
            <w:tcW w:w="4423" w:type="dxa"/>
            <w:tcBorders>
              <w:left w:val="single" w:sz="12" w:space="0" w:color="auto"/>
              <w:right w:val="single" w:sz="12" w:space="0" w:color="auto"/>
            </w:tcBorders>
          </w:tcPr>
          <w:p w14:paraId="499AB50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left w:val="single" w:sz="12" w:space="0" w:color="auto"/>
              <w:right w:val="single" w:sz="12" w:space="0" w:color="auto"/>
            </w:tcBorders>
          </w:tcPr>
          <w:p w14:paraId="4F1F195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B8C2FF6" w14:textId="77777777" w:rsidTr="00084804">
        <w:tc>
          <w:tcPr>
            <w:tcW w:w="4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0121F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4102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3C18C603" w14:textId="77777777" w:rsidR="00A3737F" w:rsidRDefault="00A3737F" w:rsidP="00643062">
      <w:pPr>
        <w:pStyle w:val="Default"/>
        <w:spacing w:before="360" w:line="360" w:lineRule="auto"/>
        <w:rPr>
          <w:b/>
          <w:color w:val="auto"/>
        </w:rPr>
      </w:pPr>
      <w:r>
        <w:rPr>
          <w:b/>
          <w:color w:val="auto"/>
        </w:rPr>
        <w:t>Nyelvismeret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42"/>
        <w:gridCol w:w="2223"/>
        <w:gridCol w:w="2347"/>
      </w:tblGrid>
      <w:tr w:rsidR="00A3737F" w:rsidRPr="00084804" w14:paraId="19B8479D" w14:textId="77777777" w:rsidTr="00084804"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12C2C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Mely nyelvből rendelkezik nyelvvizsgával</w:t>
            </w:r>
          </w:p>
        </w:tc>
      </w:tr>
      <w:tr w:rsidR="00A3737F" w:rsidRPr="00084804" w14:paraId="0B88CEC6" w14:textId="77777777" w:rsidTr="00084804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4DA00B4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</w:t>
            </w: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0FDD9A4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Nyelvvizsga foka</w:t>
            </w:r>
          </w:p>
        </w:tc>
        <w:tc>
          <w:tcPr>
            <w:tcW w:w="45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75714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Nyelvvizsga bizonyítvány száma, kelte</w:t>
            </w:r>
          </w:p>
        </w:tc>
      </w:tr>
      <w:tr w:rsidR="00A3737F" w:rsidRPr="00084804" w14:paraId="69FB113B" w14:textId="77777777" w:rsidTr="00084804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A714B10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12" w:space="0" w:color="auto"/>
              <w:bottom w:val="single" w:sz="6" w:space="0" w:color="auto"/>
            </w:tcBorders>
          </w:tcPr>
          <w:p w14:paraId="07596315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3ACDEF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0D66DDDE" w14:textId="77777777" w:rsidTr="00084804"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D0E23E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</w:tcPr>
          <w:p w14:paraId="6B844E3F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right w:val="single" w:sz="12" w:space="0" w:color="auto"/>
            </w:tcBorders>
          </w:tcPr>
          <w:p w14:paraId="4DBAAC0A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1B2A7ED0" w14:textId="77777777" w:rsidTr="00084804"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E5A4625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6" w:space="0" w:color="auto"/>
              <w:bottom w:val="single" w:sz="12" w:space="0" w:color="auto"/>
            </w:tcBorders>
          </w:tcPr>
          <w:p w14:paraId="2841D1A2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right w:val="single" w:sz="12" w:space="0" w:color="auto"/>
            </w:tcBorders>
          </w:tcPr>
          <w:p w14:paraId="001405AD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35415000" w14:textId="77777777" w:rsidTr="00084804"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FB78C" w14:textId="5C5731EF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A</w:t>
            </w:r>
            <w:r w:rsidRPr="00C64B5F">
              <w:t xml:space="preserve">djon meg   - az </w:t>
            </w:r>
            <w:proofErr w:type="spellStart"/>
            <w:r w:rsidRPr="00C64B5F">
              <w:t>előzőeken</w:t>
            </w:r>
            <w:proofErr w:type="spellEnd"/>
            <w:r w:rsidRPr="00C64B5F">
              <w:t xml:space="preserve"> kívül </w:t>
            </w:r>
            <w:proofErr w:type="gramStart"/>
            <w:r w:rsidRPr="00C64B5F">
              <w:t>-  minden</w:t>
            </w:r>
            <w:proofErr w:type="gramEnd"/>
            <w:r w:rsidRPr="00C64B5F">
              <w:t xml:space="preserve"> további nyelvet, amelyet bármilyen szinten ismer</w:t>
            </w:r>
          </w:p>
        </w:tc>
      </w:tr>
      <w:tr w:rsidR="00A3737F" w:rsidRPr="00084804" w14:paraId="619D3D58" w14:textId="77777777" w:rsidTr="001E4196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25A6D72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</w:t>
            </w: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0C99EEF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olvasás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14:paraId="0871E2E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írás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</w:tcPr>
          <w:p w14:paraId="141AC25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beszéd</w:t>
            </w:r>
          </w:p>
        </w:tc>
      </w:tr>
      <w:tr w:rsidR="00A3737F" w:rsidRPr="00084804" w14:paraId="17294848" w14:textId="77777777" w:rsidTr="00084804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14:paraId="68474157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  <w:tcBorders>
              <w:top w:val="single" w:sz="12" w:space="0" w:color="auto"/>
            </w:tcBorders>
          </w:tcPr>
          <w:p w14:paraId="10A2A7C9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  <w:tcBorders>
              <w:top w:val="single" w:sz="12" w:space="0" w:color="auto"/>
            </w:tcBorders>
          </w:tcPr>
          <w:p w14:paraId="4B0B833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14:paraId="13B4B8FC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6CC2FFFA" w14:textId="77777777" w:rsidTr="00084804">
        <w:tc>
          <w:tcPr>
            <w:tcW w:w="2122" w:type="dxa"/>
            <w:tcBorders>
              <w:left w:val="single" w:sz="12" w:space="0" w:color="auto"/>
            </w:tcBorders>
          </w:tcPr>
          <w:p w14:paraId="25C6B67E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</w:tcPr>
          <w:p w14:paraId="5353CC6D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</w:tcPr>
          <w:p w14:paraId="50D64478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14:paraId="470D856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3666C07" w14:textId="77777777" w:rsidTr="00084804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0FE311EF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1533B7E6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14:paraId="7C229D4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</w:tcPr>
          <w:p w14:paraId="56F801B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552F0EF2" w14:textId="48D5B5FD" w:rsidR="00A3737F" w:rsidRPr="00C64B5F" w:rsidRDefault="00A3737F" w:rsidP="00643062">
      <w:pPr>
        <w:pStyle w:val="Default"/>
        <w:spacing w:after="1800" w:line="360" w:lineRule="auto"/>
        <w:jc w:val="both"/>
      </w:pPr>
      <w:r>
        <w:rPr>
          <w:b/>
          <w:color w:val="auto"/>
        </w:rPr>
        <w:lastRenderedPageBreak/>
        <w:t>A pályázó t</w:t>
      </w:r>
      <w:r w:rsidRPr="0067686E">
        <w:rPr>
          <w:b/>
          <w:color w:val="auto"/>
        </w:rPr>
        <w:t>udományos és szakmai tevékenység</w:t>
      </w:r>
      <w:r>
        <w:rPr>
          <w:b/>
          <w:color w:val="auto"/>
        </w:rPr>
        <w:t>ének bemutatása</w:t>
      </w:r>
      <w:r w:rsidRPr="0067686E">
        <w:rPr>
          <w:b/>
          <w:color w:val="auto"/>
        </w:rPr>
        <w:t xml:space="preserve"> </w:t>
      </w:r>
      <w:r w:rsidRPr="0067686E">
        <w:rPr>
          <w:color w:val="auto"/>
        </w:rPr>
        <w:t>(</w:t>
      </w:r>
      <w:r w:rsidRPr="0067686E">
        <w:rPr>
          <w:rFonts w:cs="Times New Roman"/>
          <w:lang w:eastAsia="hu-HU"/>
        </w:rPr>
        <w:t>publikációk, tudományos diákköri dolgozat, nemzetközi és hazai versenyeken, konferenciákon való részvétel stb.</w:t>
      </w:r>
      <w:r w:rsidRPr="0067686E">
        <w:rPr>
          <w:color w:val="auto"/>
        </w:rPr>
        <w:t xml:space="preserve">) – </w:t>
      </w:r>
      <w:r w:rsidRPr="00C64B5F">
        <w:t>felsorolás</w:t>
      </w:r>
    </w:p>
    <w:p w14:paraId="095D4690" w14:textId="77777777" w:rsidR="00A3737F" w:rsidRPr="00C64B5F" w:rsidRDefault="00A3737F" w:rsidP="00643062">
      <w:pPr>
        <w:pStyle w:val="Default"/>
        <w:spacing w:after="1800" w:line="360" w:lineRule="auto"/>
        <w:rPr>
          <w:b/>
        </w:rPr>
      </w:pPr>
      <w:r w:rsidRPr="00C64B5F">
        <w:rPr>
          <w:b/>
        </w:rPr>
        <w:t xml:space="preserve">A pályázó elnyert díjai, ösztöndíjai, kitüntetései </w:t>
      </w:r>
      <w:r w:rsidRPr="00C64B5F">
        <w:t>– felsorolás</w:t>
      </w:r>
    </w:p>
    <w:p w14:paraId="5A68C453" w14:textId="471CB153" w:rsidR="00A3737F" w:rsidRPr="00C64B5F" w:rsidRDefault="00A3737F" w:rsidP="00643062">
      <w:pPr>
        <w:pStyle w:val="Default"/>
        <w:spacing w:after="1800" w:line="360" w:lineRule="auto"/>
        <w:rPr>
          <w:rFonts w:cs="Times New Roman"/>
          <w:lang w:eastAsia="hu-HU"/>
        </w:rPr>
      </w:pPr>
      <w:r w:rsidRPr="00C64B5F">
        <w:rPr>
          <w:rFonts w:cs="Times New Roman"/>
          <w:b/>
          <w:lang w:eastAsia="hu-HU"/>
        </w:rPr>
        <w:t xml:space="preserve">A pályázó közéleti tevékenységének bemutatása </w:t>
      </w:r>
      <w:r w:rsidRPr="00C64B5F">
        <w:rPr>
          <w:rFonts w:cs="Times New Roman"/>
          <w:lang w:eastAsia="hu-HU"/>
        </w:rPr>
        <w:t>(szakkollégiumi tevékenység, közéleti, közösségi tevékenysége</w:t>
      </w:r>
      <w:r w:rsidR="00237638" w:rsidRPr="00C64B5F">
        <w:rPr>
          <w:rFonts w:cs="Times New Roman"/>
          <w:lang w:eastAsia="hu-HU"/>
        </w:rPr>
        <w:t xml:space="preserve"> </w:t>
      </w:r>
      <w:r w:rsidRPr="00C64B5F">
        <w:rPr>
          <w:rFonts w:cs="Times New Roman"/>
          <w:lang w:eastAsia="hu-HU"/>
        </w:rPr>
        <w:t>stb.) – felsorolás</w:t>
      </w:r>
    </w:p>
    <w:p w14:paraId="00407EF8" w14:textId="77777777" w:rsidR="00A3737F" w:rsidRDefault="00A3737F" w:rsidP="003C523E">
      <w:pPr>
        <w:pStyle w:val="Default"/>
        <w:spacing w:line="360" w:lineRule="auto"/>
        <w:jc w:val="both"/>
        <w:rPr>
          <w:b/>
          <w:color w:val="auto"/>
        </w:rPr>
      </w:pPr>
      <w:r w:rsidRPr="00313EC2">
        <w:rPr>
          <w:b/>
          <w:color w:val="auto"/>
        </w:rPr>
        <w:t>Felelőségem tudatában kijelentem, hogy a pályázatban magadott adatok a valóságnak megfelelnek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979"/>
        <w:gridCol w:w="3091"/>
      </w:tblGrid>
      <w:tr w:rsidR="00A3737F" w:rsidRPr="00084804" w14:paraId="2EBF3408" w14:textId="77777777" w:rsidTr="00084804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3A94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Név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14:paraId="35915FE2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Hallgató aláírása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429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Dátum</w:t>
            </w:r>
          </w:p>
        </w:tc>
      </w:tr>
      <w:tr w:rsidR="00A3737F" w:rsidRPr="00084804" w14:paraId="19A5EA52" w14:textId="77777777" w:rsidTr="00084804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3BF1F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14:paraId="2EBD9EFE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343D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0D1AFD52" w14:textId="77777777" w:rsidR="00A3737F" w:rsidRDefault="00A3737F" w:rsidP="00967CA4">
      <w:pPr>
        <w:pStyle w:val="Default"/>
        <w:spacing w:after="480" w:line="360" w:lineRule="auto"/>
        <w:rPr>
          <w:b/>
          <w:color w:val="auto"/>
        </w:rPr>
      </w:pPr>
    </w:p>
    <w:p w14:paraId="23116C1C" w14:textId="00DCB119" w:rsidR="00A3737F" w:rsidRDefault="00A3737F" w:rsidP="00237638">
      <w:pPr>
        <w:rPr>
          <w:b/>
        </w:rPr>
      </w:pPr>
      <w:r>
        <w:rPr>
          <w:b/>
        </w:rPr>
        <w:br w:type="page"/>
      </w:r>
      <w:r w:rsidRPr="003C523E">
        <w:rPr>
          <w:b/>
        </w:rPr>
        <w:lastRenderedPageBreak/>
        <w:t xml:space="preserve">KUTATÁSI PROGRAM- ÉS KÖLTSÉGTERV </w:t>
      </w:r>
    </w:p>
    <w:p w14:paraId="6E6D32A7" w14:textId="152F0F43" w:rsidR="00A3737F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>K</w:t>
      </w:r>
      <w:r w:rsidRPr="00313EC2">
        <w:rPr>
          <w:b/>
          <w:color w:val="auto"/>
        </w:rPr>
        <w:t xml:space="preserve">utatási tématerület (sorszám, </w:t>
      </w:r>
      <w:r w:rsidR="00E5037D">
        <w:rPr>
          <w:b/>
          <w:color w:val="auto"/>
        </w:rPr>
        <w:t>megnevezés</w:t>
      </w:r>
      <w:r w:rsidRPr="00313EC2">
        <w:rPr>
          <w:b/>
          <w:color w:val="auto"/>
        </w:rPr>
        <w:t>)</w:t>
      </w:r>
    </w:p>
    <w:p w14:paraId="6E3D319E" w14:textId="77777777" w:rsidR="00A3737F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>Kutatás címe</w:t>
      </w:r>
    </w:p>
    <w:p w14:paraId="3CA56B77" w14:textId="77777777" w:rsidR="00A3737F" w:rsidRPr="00967CA4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 xml:space="preserve">Kutatás időtartama, időbeli ütemezése </w:t>
      </w:r>
      <w:r w:rsidRPr="0067686E">
        <w:rPr>
          <w:color w:val="auto"/>
        </w:rPr>
        <w:t>(havi bontásban)</w:t>
      </w:r>
    </w:p>
    <w:p w14:paraId="311891D1" w14:textId="77777777" w:rsidR="00A3737F" w:rsidRDefault="00A3737F" w:rsidP="00967CA4">
      <w:pPr>
        <w:pStyle w:val="Default"/>
        <w:spacing w:after="240" w:line="360" w:lineRule="auto"/>
        <w:rPr>
          <w:b/>
          <w:color w:val="auto"/>
        </w:rPr>
      </w:pPr>
      <w:r>
        <w:rPr>
          <w:b/>
          <w:color w:val="auto"/>
        </w:rPr>
        <w:t xml:space="preserve">Kutatási program </w:t>
      </w:r>
      <w:r w:rsidRPr="0013179F">
        <w:rPr>
          <w:color w:val="auto"/>
        </w:rPr>
        <w:t>(maximum 5. oldal)</w:t>
      </w:r>
    </w:p>
    <w:p w14:paraId="169ED3BF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Bevezetés, célkitűzések</w:t>
      </w:r>
    </w:p>
    <w:p w14:paraId="662E118A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A témában eddig folytatott hazai és nemzetközi kutatások eredményei</w:t>
      </w:r>
    </w:p>
    <w:p w14:paraId="1063BC18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Anyag és módszer</w:t>
      </w:r>
    </w:p>
    <w:p w14:paraId="5D3399D7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Várható eredmények</w:t>
      </w:r>
    </w:p>
    <w:p w14:paraId="1FA1C4FE" w14:textId="77777777" w:rsidR="00A3737F" w:rsidRDefault="00A3737F" w:rsidP="00967CA4">
      <w:pPr>
        <w:pStyle w:val="Default"/>
        <w:numPr>
          <w:ilvl w:val="1"/>
          <w:numId w:val="5"/>
        </w:numPr>
        <w:spacing w:after="240" w:line="360" w:lineRule="auto"/>
        <w:ind w:left="1434" w:hanging="357"/>
        <w:rPr>
          <w:b/>
          <w:color w:val="auto"/>
        </w:rPr>
      </w:pPr>
      <w:r>
        <w:rPr>
          <w:b/>
          <w:color w:val="auto"/>
        </w:rPr>
        <w:t>Várható eredmények hasznosulása</w:t>
      </w:r>
    </w:p>
    <w:p w14:paraId="08DB290B" w14:textId="2D82B1B3" w:rsidR="00A3737F" w:rsidRDefault="00A3737F" w:rsidP="0023763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Költségterv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816"/>
        <w:gridCol w:w="1824"/>
        <w:gridCol w:w="1791"/>
      </w:tblGrid>
      <w:tr w:rsidR="00A3737F" w:rsidRPr="00084804" w14:paraId="23456B6D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2FA2" w14:textId="77777777" w:rsidR="00A3737F" w:rsidRPr="00084804" w:rsidRDefault="00A3737F" w:rsidP="0008480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4804">
              <w:rPr>
                <w:b/>
                <w:sz w:val="24"/>
                <w:szCs w:val="24"/>
                <w:lang w:eastAsia="hu-HU"/>
              </w:rPr>
              <w:t>Utazási költségek (honnan-hová)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A533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távolság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8088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F3D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19A25F00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36E7A0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60B35B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ACD4F73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6DBAC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943FA79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3313C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24810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3D777051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2A1CADCA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74C74F8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CB080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BEF5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45A02CB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A214D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06FEA367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1A72" w14:textId="39123909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L</w:t>
            </w:r>
            <w:r w:rsidRPr="00084804">
              <w:rPr>
                <w:rFonts w:cs="Times New Roman"/>
                <w:b/>
                <w:color w:val="auto"/>
                <w:lang w:eastAsia="hu-HU"/>
              </w:rPr>
              <w:t>abor-, vizsgálati költségek stb.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7364C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DE635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56C5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459760B1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F661B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D02C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8B09EE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DD5F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49F7E747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54409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6EFF00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4DD7FF7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726FE6D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1C766659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05D8B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173A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B7F1641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578C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7263CCA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11CE8" w14:textId="7DB4C34B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rFonts w:cs="Times New Roman"/>
                <w:b/>
                <w:color w:val="auto"/>
                <w:lang w:eastAsia="hu-HU"/>
              </w:rPr>
              <w:t>Eszközök, adatbázisok stb.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EA91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931F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darabszám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EB86D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6BEB408E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6C95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9775D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B905B0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1CB9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62C315E4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8817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62CACF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6AF56D8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6477CB6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4BD10CF8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BC61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0AC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116F9D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C979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</w:tbl>
    <w:p w14:paraId="3A420032" w14:textId="09E7DA8D" w:rsidR="00A3737F" w:rsidRDefault="00A3737F" w:rsidP="00237638">
      <w:pPr>
        <w:rPr>
          <w:rFonts w:eastAsia="FreeSerifBold"/>
          <w:b/>
          <w:bCs/>
          <w:noProof/>
        </w:rPr>
      </w:pPr>
      <w:r>
        <w:rPr>
          <w:b/>
          <w:bCs/>
          <w:iCs/>
        </w:rPr>
        <w:br w:type="page"/>
      </w:r>
      <w:r>
        <w:rPr>
          <w:b/>
          <w:bCs/>
          <w:iCs/>
        </w:rPr>
        <w:lastRenderedPageBreak/>
        <w:t>KUTATÁSI TÉMAFELSOROLÁS (2021/2022-es pályázati év)</w:t>
      </w:r>
      <w:r w:rsidRPr="004A4533">
        <w:rPr>
          <w:rFonts w:eastAsia="FreeSerifBold"/>
          <w:b/>
          <w:bCs/>
          <w:noProof/>
        </w:rPr>
        <w:t xml:space="preserve"> </w:t>
      </w:r>
    </w:p>
    <w:p w14:paraId="6BEEAB94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Tavaszi kibocsátás hatásának vizsgálata a nevelt fácán túlélési mintázatára.</w:t>
      </w:r>
    </w:p>
    <w:p w14:paraId="3E3947F3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Nevelt szürke fogoly őszi (csapatos) és tavaszi (kényszerpárosítás utáni) kibocsátásának túlélési mintázata.</w:t>
      </w:r>
    </w:p>
    <w:p w14:paraId="368A006E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Szürke fogoly (</w:t>
      </w:r>
      <w:proofErr w:type="spellStart"/>
      <w:r w:rsidRPr="00277E4D">
        <w:t>Perdix</w:t>
      </w:r>
      <w:proofErr w:type="spellEnd"/>
      <w:r w:rsidRPr="00277E4D">
        <w:t xml:space="preserve"> </w:t>
      </w:r>
      <w:proofErr w:type="spellStart"/>
      <w:r w:rsidRPr="00277E4D">
        <w:t>perdix</w:t>
      </w:r>
      <w:proofErr w:type="spellEnd"/>
      <w:r w:rsidRPr="00277E4D">
        <w:t>) alternatív nevelési technológiáinak alkalmazási lehetőségei.</w:t>
      </w:r>
    </w:p>
    <w:p w14:paraId="673F5CEB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Vörös fogoly (</w:t>
      </w:r>
      <w:proofErr w:type="spellStart"/>
      <w:r w:rsidRPr="00277E4D">
        <w:t>Alectoris</w:t>
      </w:r>
      <w:proofErr w:type="spellEnd"/>
      <w:r w:rsidRPr="00277E4D">
        <w:t xml:space="preserve"> </w:t>
      </w:r>
      <w:proofErr w:type="spellStart"/>
      <w:r w:rsidRPr="00277E4D">
        <w:t>rufa</w:t>
      </w:r>
      <w:proofErr w:type="spellEnd"/>
      <w:r w:rsidRPr="00277E4D">
        <w:t>) alternatív nevelési technológiáinak alkalmazási lehetőségei.</w:t>
      </w:r>
    </w:p>
    <w:p w14:paraId="04DC7EDD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Vadriasztó prizmák kihelyezésének hatása a vad-gépjármű ütközés gyakoriságára és a balesetek súlyosságára.</w:t>
      </w:r>
    </w:p>
    <w:p w14:paraId="19FB8F72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Nagy értékű növénykultúrákban bekövetkező vadkár térbeli mintázata.</w:t>
      </w:r>
    </w:p>
    <w:p w14:paraId="62BAD3DD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Vadlúd őszi-téli rágáskár hatása a gabonafélék terméseredményeire.</w:t>
      </w:r>
    </w:p>
    <w:p w14:paraId="345EC21E" w14:textId="5C22D02B" w:rsidR="00A3737F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 xml:space="preserve">Vadludak és őzek </w:t>
      </w:r>
      <w:r w:rsidR="00F97C14">
        <w:t xml:space="preserve">együttes viselkedésének </w:t>
      </w:r>
      <w:r w:rsidRPr="00277E4D">
        <w:t>etológiai vizsgálata mezőgazdasági területeken.</w:t>
      </w:r>
    </w:p>
    <w:p w14:paraId="3337E5CE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mezei nyúl állományának felmérése különböző módszerekkel (éjszakai reflektoros állománybecslés, nappali sávos számlálás /</w:t>
      </w:r>
      <w:proofErr w:type="spellStart"/>
      <w:r>
        <w:t>Pielowski</w:t>
      </w:r>
      <w:proofErr w:type="spellEnd"/>
      <w:r>
        <w:t xml:space="preserve"> féle módszer/, nappalis sávos számlás kutya segítségével) és az eredmények összehasonlítása a vadászterület becslésével.</w:t>
      </w:r>
    </w:p>
    <w:p w14:paraId="0277E2DC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vörös róka állományának felmérése különböző módszerekkel (hivatásos vadászok és vadásztársak ismeretei alapján készült kotoréktérkép, véletlenszerű becslés, rétegzett mintavételen alapuló becslés) az adatok egymással és a vadászterület becslésével való összehasonlítása.</w:t>
      </w:r>
    </w:p>
    <w:p w14:paraId="4C46CF4A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gím, dám és őz állományának minimális nagyságának becslése szinkronszámlálással és az adatok összehasonlítása a vadászterület becslésével.</w:t>
      </w:r>
    </w:p>
    <w:p w14:paraId="538B1AA8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Hagyományos fácánkibocsátást végző vadászterületen a kibocsátó hely és környezetének ragadozó állományának felmérése közvetett jelek alapján (nyom, ürülék, közvetlen megfigyelés, kamera csapda használata) a kibocsátás előtti két hónaptól a vadászidény a végéig.</w:t>
      </w:r>
    </w:p>
    <w:p w14:paraId="3143EFB9" w14:textId="4D5B614E" w:rsidR="00496818" w:rsidRPr="00277E4D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Apróvadas vadászterület vadetetőinek vizsgálata a nem célzott fajok megjelenése szempontjából.</w:t>
      </w:r>
    </w:p>
    <w:p w14:paraId="3249C3E7" w14:textId="5586A2D6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 xml:space="preserve">A vadkár megelőzését szolgáló vadföldek és a kiegészítő takarmányozás vadállományra </w:t>
      </w:r>
      <w:r w:rsidRPr="00F55443">
        <w:t>gyakorolt hatása, értékelése</w:t>
      </w:r>
      <w:r w:rsidR="00496818" w:rsidRPr="00F55443">
        <w:t xml:space="preserve"> </w:t>
      </w:r>
      <w:r w:rsidR="00EF7B37" w:rsidRPr="00F55443">
        <w:t>(kutatás helyszíne: Nagybajom).</w:t>
      </w:r>
    </w:p>
    <w:p w14:paraId="52ED47F0" w14:textId="3C8D226F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és a vaddisznó okozta mezőgazdasági vadkár meghatározása, megoszlása különböző mezőgazdasági kultúrák esetében</w:t>
      </w:r>
      <w:r w:rsidR="00496818" w:rsidRPr="00F55443">
        <w:t xml:space="preserve"> (kutatás helyszíne</w:t>
      </w:r>
      <w:r w:rsidR="00EF7B37" w:rsidRPr="00F55443">
        <w:t>: tetszőleges</w:t>
      </w:r>
      <w:r w:rsidR="00496818" w:rsidRPr="00F55443">
        <w:t>).</w:t>
      </w:r>
    </w:p>
    <w:p w14:paraId="73EDA5EA" w14:textId="6D71999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Erdővédelmi kerítések, mezőgazdasági bekerített területek hatása a vad mozgására, annak migrációs útvonalára. A mennyiségi vadkár változása a be nem kerített területeken</w:t>
      </w:r>
      <w:r w:rsidR="00496818" w:rsidRPr="00F55443">
        <w:t xml:space="preserve"> </w:t>
      </w:r>
      <w:r w:rsidR="00EF7B37" w:rsidRPr="00F55443">
        <w:t>(kutatás helyszíne: Nagybajom).</w:t>
      </w:r>
    </w:p>
    <w:p w14:paraId="7F02F924" w14:textId="7734280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Szigetszerű (pl.: elkerülő utak, autópályák határolta területre szorult) nagyvad populációk jövője, a túlélés lehetőségei, az általuk okozott vadkár változása ezen területeken</w:t>
      </w:r>
      <w:r w:rsidR="00496818" w:rsidRPr="00F55443">
        <w:t xml:space="preserve"> (kutatás helyszíne</w:t>
      </w:r>
      <w:r w:rsidR="00EF7B37" w:rsidRPr="00F55443">
        <w:t>: tetszőleges</w:t>
      </w:r>
      <w:r w:rsidR="00496818" w:rsidRPr="00F55443">
        <w:t>).</w:t>
      </w:r>
    </w:p>
    <w:p w14:paraId="301CD317" w14:textId="11BB5AA1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lastRenderedPageBreak/>
        <w:t xml:space="preserve">A gyepterületek művelésének, vadeltartó képességük fokozásának elvi és gyakorlati lehetőségei </w:t>
      </w:r>
      <w:proofErr w:type="spellStart"/>
      <w:r w:rsidRPr="00F55443">
        <w:t>Natura</w:t>
      </w:r>
      <w:proofErr w:type="spellEnd"/>
      <w:r w:rsidRPr="00F55443">
        <w:t xml:space="preserve"> 2000-es területeken</w:t>
      </w:r>
      <w:r w:rsidR="00496818" w:rsidRPr="00F55443">
        <w:t xml:space="preserve"> </w:t>
      </w:r>
      <w:r w:rsidR="00EF7B37" w:rsidRPr="00F55443">
        <w:t>(kutatás helyszíne: Nagybajom).</w:t>
      </w:r>
    </w:p>
    <w:p w14:paraId="5CDADA51" w14:textId="03CFF0BC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Homokterületek vadföldgazdálkodási lehetőségei, módszerei, kiegészítő vadtakarmányozási alternatívák</w:t>
      </w:r>
      <w:r w:rsidR="00496818" w:rsidRPr="00F55443">
        <w:t xml:space="preserve"> (kutatás helyszíne</w:t>
      </w:r>
      <w:r w:rsidR="00EF7B37" w:rsidRPr="00F55443">
        <w:t>: Nagybajom</w:t>
      </w:r>
      <w:r w:rsidR="00496818" w:rsidRPr="00F55443">
        <w:t>).</w:t>
      </w:r>
    </w:p>
    <w:p w14:paraId="52F641C5" w14:textId="0AF1F06A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 xml:space="preserve">A sakálállományok növekedésének modellezése, az elejtett </w:t>
      </w:r>
      <w:proofErr w:type="spellStart"/>
      <w:r w:rsidRPr="00F55443">
        <w:t>egyedek</w:t>
      </w:r>
      <w:proofErr w:type="spellEnd"/>
      <w:r w:rsidRPr="00F55443">
        <w:t xml:space="preserve"> </w:t>
      </w:r>
      <w:proofErr w:type="spellStart"/>
      <w:r w:rsidRPr="00F55443">
        <w:t>vehem</w:t>
      </w:r>
      <w:proofErr w:type="spellEnd"/>
      <w:r w:rsidRPr="00F55443">
        <w:t>- és egyéb vizsgálati eredményeinek tükrében</w:t>
      </w:r>
      <w:r w:rsidR="005E04EE" w:rsidRPr="00F55443">
        <w:t xml:space="preserve"> (kutatás helyszín</w:t>
      </w:r>
      <w:r w:rsidR="00EF7B37" w:rsidRPr="00F55443">
        <w:t>: tetszőleges</w:t>
      </w:r>
      <w:r w:rsidR="005E04EE" w:rsidRPr="00F55443">
        <w:t>).</w:t>
      </w:r>
    </w:p>
    <w:p w14:paraId="4C46156E" w14:textId="5B5449FD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aranysakál állományának felmérése</w:t>
      </w:r>
      <w:r w:rsidR="005E04EE" w:rsidRPr="00F55443">
        <w:t xml:space="preserve"> </w:t>
      </w:r>
      <w:r w:rsidRPr="00F55443">
        <w:t>”camera trapping” és akusztikus állománybecslés módszereinek alkalmazásával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37B10842" w14:textId="66A906D7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aranysakál állomány növekedésének hatása a rókapopulációra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1D96AA04" w14:textId="1DA85065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intenzív ragadozógyérítés módszerei, eredményei és ezek hatása adott terület apróvadállományára, nagyvadállományára.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38050D5B" w14:textId="2D76CB8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Vaddisznó állomány meghatározása populáció-rekonstrukcióval és egyéb létszám becslési módszerekkel.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34DE34DA" w14:textId="2A335E9A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nőnemű egyedeinek állományon belüli koreloszlása, ennek vizsgálata az elejtett egyedek kormeghatározása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4B9E4C09" w14:textId="206FC12D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bőgő szarvasbika hangjának és viselkedésének összefüggései (akár a jelölt szarvasok vizsgálatával) (akusztikus és képi kutatás)</w:t>
      </w:r>
      <w:r w:rsidR="005E04EE" w:rsidRPr="00F55443">
        <w:t xml:space="preserve"> (kutatás helyszín</w:t>
      </w:r>
      <w:r w:rsidR="00EF7B37" w:rsidRPr="00F55443">
        <w:t>e: tetszőleges</w:t>
      </w:r>
      <w:r w:rsidR="005E04EE" w:rsidRPr="00F55443">
        <w:t>).</w:t>
      </w:r>
    </w:p>
    <w:p w14:paraId="12D7E1FE" w14:textId="01B549C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szarvasbika terepi korbecslése, az eredmények összehasonlítása az elejtés után, a hatósági bírálatkor és laboratóriumi vizsgálatok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7F059640" w14:textId="22DB8B1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állomány becslése ”camera trapping” és egyéb állománybecslési módszerek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1462124F" w14:textId="74B64180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őz és az apróvad állományok fejlesztési lehetőségei az egyéb nagyvad fajok létszámcsökkenésének tükrében</w:t>
      </w:r>
      <w:r w:rsidR="005E04EE" w:rsidRPr="00F55443">
        <w:t xml:space="preserve"> </w:t>
      </w:r>
      <w:r w:rsidR="00F55443" w:rsidRPr="00F55443">
        <w:t>(kutatás helyszíne: tetszőleges).</w:t>
      </w:r>
    </w:p>
    <w:p w14:paraId="11651A52" w14:textId="77777777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őzállomány mennyiségi és minőségi javításának lehetőségei nagyvadas területen.</w:t>
      </w:r>
    </w:p>
    <w:p w14:paraId="6EAF896A" w14:textId="795835A5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Extenzív és félintenzív tenyésztési módszerek alkalmazása -vaddisznóktól „mentesített” területeken- az apróvad állományok növelésére, ezt támogató élőhely fejlesztési lehetőségek nagyvadas élőhelyeken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5F37883D" w14:textId="3969CB4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Szabadon választott</w:t>
      </w:r>
      <w:r w:rsidR="007C2183" w:rsidRPr="00F55443">
        <w:t>, az Alapítvány célkitűzéseihez köthető</w:t>
      </w:r>
      <w:r w:rsidR="00DF30B3" w:rsidRPr="00F55443">
        <w:t xml:space="preserve"> </w:t>
      </w:r>
      <w:r w:rsidRPr="00F55443">
        <w:t>tématerület</w:t>
      </w:r>
      <w:r w:rsidR="005E04EE" w:rsidRPr="00F55443">
        <w:t>.</w:t>
      </w:r>
    </w:p>
    <w:sectPr w:rsidR="00A3737F" w:rsidRPr="00F55443" w:rsidSect="004E1946">
      <w:footerReference w:type="default" r:id="rId12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D75" w14:textId="77777777" w:rsidR="00466CD0" w:rsidRDefault="00466CD0" w:rsidP="004A4533">
      <w:pPr>
        <w:spacing w:after="0" w:line="240" w:lineRule="auto"/>
      </w:pPr>
      <w:r>
        <w:separator/>
      </w:r>
    </w:p>
  </w:endnote>
  <w:endnote w:type="continuationSeparator" w:id="0">
    <w:p w14:paraId="3816953E" w14:textId="77777777" w:rsidR="00466CD0" w:rsidRDefault="00466CD0" w:rsidP="004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2F2" w14:textId="079ACC5E" w:rsidR="00A3737F" w:rsidRDefault="00F97C14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633F99D1" wp14:editId="22F2706D">
          <wp:simplePos x="0" y="0"/>
          <wp:positionH relativeFrom="margin">
            <wp:posOffset>0</wp:posOffset>
          </wp:positionH>
          <wp:positionV relativeFrom="paragraph">
            <wp:posOffset>-288925</wp:posOffset>
          </wp:positionV>
          <wp:extent cx="690245" cy="635000"/>
          <wp:effectExtent l="0" t="0" r="0" b="0"/>
          <wp:wrapSquare wrapText="bothSides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B5F">
      <w:fldChar w:fldCharType="begin"/>
    </w:r>
    <w:r w:rsidR="00C64B5F">
      <w:instrText>PAGE   \* MERGEFORMAT</w:instrText>
    </w:r>
    <w:r w:rsidR="00C64B5F">
      <w:fldChar w:fldCharType="separate"/>
    </w:r>
    <w:r w:rsidR="0024256E">
      <w:rPr>
        <w:noProof/>
      </w:rPr>
      <w:t>3</w:t>
    </w:r>
    <w:r w:rsidR="00C64B5F">
      <w:rPr>
        <w:noProof/>
      </w:rPr>
      <w:fldChar w:fldCharType="end"/>
    </w:r>
  </w:p>
  <w:p w14:paraId="3013A19C" w14:textId="77777777" w:rsidR="00A3737F" w:rsidRDefault="00A373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61B5" w14:textId="77777777" w:rsidR="00466CD0" w:rsidRDefault="00466CD0" w:rsidP="004A4533">
      <w:pPr>
        <w:spacing w:after="0" w:line="240" w:lineRule="auto"/>
      </w:pPr>
      <w:r>
        <w:separator/>
      </w:r>
    </w:p>
  </w:footnote>
  <w:footnote w:type="continuationSeparator" w:id="0">
    <w:p w14:paraId="7FB7B65F" w14:textId="77777777" w:rsidR="00466CD0" w:rsidRDefault="00466CD0" w:rsidP="004A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73"/>
    <w:multiLevelType w:val="hybridMultilevel"/>
    <w:tmpl w:val="B6B4A01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34BF"/>
    <w:multiLevelType w:val="multilevel"/>
    <w:tmpl w:val="9C56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BE2"/>
    <w:multiLevelType w:val="hybridMultilevel"/>
    <w:tmpl w:val="345636CE"/>
    <w:lvl w:ilvl="0" w:tplc="E61A07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83778"/>
    <w:multiLevelType w:val="hybridMultilevel"/>
    <w:tmpl w:val="7826AB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8ED"/>
    <w:multiLevelType w:val="hybridMultilevel"/>
    <w:tmpl w:val="13E47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20586"/>
    <w:multiLevelType w:val="hybridMultilevel"/>
    <w:tmpl w:val="1DF234E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E58A7"/>
    <w:multiLevelType w:val="multilevel"/>
    <w:tmpl w:val="80DA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704"/>
    <w:multiLevelType w:val="multilevel"/>
    <w:tmpl w:val="E10C0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17"/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jMyNTMxMjAwMzVV0lEKTi0uzszPAykwrAUAm9a49SwAAAA="/>
  </w:docVars>
  <w:rsids>
    <w:rsidRoot w:val="0096419D"/>
    <w:rsid w:val="000075F8"/>
    <w:rsid w:val="000632A2"/>
    <w:rsid w:val="00084804"/>
    <w:rsid w:val="000872B1"/>
    <w:rsid w:val="000E053E"/>
    <w:rsid w:val="001214EF"/>
    <w:rsid w:val="0013179F"/>
    <w:rsid w:val="00137E9F"/>
    <w:rsid w:val="00170478"/>
    <w:rsid w:val="0017049F"/>
    <w:rsid w:val="001A6071"/>
    <w:rsid w:val="001E4196"/>
    <w:rsid w:val="00205515"/>
    <w:rsid w:val="002257F6"/>
    <w:rsid w:val="00230848"/>
    <w:rsid w:val="00237638"/>
    <w:rsid w:val="0024256E"/>
    <w:rsid w:val="00274E7A"/>
    <w:rsid w:val="00277E4D"/>
    <w:rsid w:val="002B7D5F"/>
    <w:rsid w:val="002E286E"/>
    <w:rsid w:val="00313EC2"/>
    <w:rsid w:val="00314193"/>
    <w:rsid w:val="003304AE"/>
    <w:rsid w:val="0033225A"/>
    <w:rsid w:val="003375DA"/>
    <w:rsid w:val="00337839"/>
    <w:rsid w:val="003729F4"/>
    <w:rsid w:val="00380FB0"/>
    <w:rsid w:val="003C2845"/>
    <w:rsid w:val="003C523E"/>
    <w:rsid w:val="003C5FA3"/>
    <w:rsid w:val="003F3D81"/>
    <w:rsid w:val="00466CD0"/>
    <w:rsid w:val="004673C7"/>
    <w:rsid w:val="00496818"/>
    <w:rsid w:val="004A3056"/>
    <w:rsid w:val="004A3F4F"/>
    <w:rsid w:val="004A4533"/>
    <w:rsid w:val="004D2C5D"/>
    <w:rsid w:val="004D513D"/>
    <w:rsid w:val="004E1946"/>
    <w:rsid w:val="004F5160"/>
    <w:rsid w:val="00522044"/>
    <w:rsid w:val="00533B16"/>
    <w:rsid w:val="00557800"/>
    <w:rsid w:val="005741D0"/>
    <w:rsid w:val="00577BDB"/>
    <w:rsid w:val="00594AB9"/>
    <w:rsid w:val="005D0D88"/>
    <w:rsid w:val="005E04EE"/>
    <w:rsid w:val="005E2E3A"/>
    <w:rsid w:val="00613FA6"/>
    <w:rsid w:val="00643062"/>
    <w:rsid w:val="0066363B"/>
    <w:rsid w:val="0067684D"/>
    <w:rsid w:val="0067686E"/>
    <w:rsid w:val="00715508"/>
    <w:rsid w:val="00741822"/>
    <w:rsid w:val="00757E7D"/>
    <w:rsid w:val="007C2183"/>
    <w:rsid w:val="007F7E9A"/>
    <w:rsid w:val="00826343"/>
    <w:rsid w:val="00827EC5"/>
    <w:rsid w:val="008329F6"/>
    <w:rsid w:val="008442BE"/>
    <w:rsid w:val="00844877"/>
    <w:rsid w:val="008531CC"/>
    <w:rsid w:val="00883A4F"/>
    <w:rsid w:val="008A1CF4"/>
    <w:rsid w:val="008A706E"/>
    <w:rsid w:val="008E5D01"/>
    <w:rsid w:val="008F1F8F"/>
    <w:rsid w:val="00900E6D"/>
    <w:rsid w:val="00922907"/>
    <w:rsid w:val="009460F4"/>
    <w:rsid w:val="0096419D"/>
    <w:rsid w:val="009652A5"/>
    <w:rsid w:val="00967CA4"/>
    <w:rsid w:val="00980CE7"/>
    <w:rsid w:val="009D1632"/>
    <w:rsid w:val="009E1538"/>
    <w:rsid w:val="00A13235"/>
    <w:rsid w:val="00A3737F"/>
    <w:rsid w:val="00A44B06"/>
    <w:rsid w:val="00A45C5B"/>
    <w:rsid w:val="00A471AA"/>
    <w:rsid w:val="00AC25C9"/>
    <w:rsid w:val="00AD7374"/>
    <w:rsid w:val="00AF624D"/>
    <w:rsid w:val="00B03E62"/>
    <w:rsid w:val="00B2780F"/>
    <w:rsid w:val="00B27B15"/>
    <w:rsid w:val="00B947F2"/>
    <w:rsid w:val="00BA2925"/>
    <w:rsid w:val="00BF1BB9"/>
    <w:rsid w:val="00C1107E"/>
    <w:rsid w:val="00C56C37"/>
    <w:rsid w:val="00C64B5F"/>
    <w:rsid w:val="00CA7A96"/>
    <w:rsid w:val="00CC39D1"/>
    <w:rsid w:val="00D41896"/>
    <w:rsid w:val="00D43954"/>
    <w:rsid w:val="00D9176D"/>
    <w:rsid w:val="00DC61C2"/>
    <w:rsid w:val="00DD7566"/>
    <w:rsid w:val="00DF30B3"/>
    <w:rsid w:val="00E259B5"/>
    <w:rsid w:val="00E30541"/>
    <w:rsid w:val="00E5037D"/>
    <w:rsid w:val="00EA46BD"/>
    <w:rsid w:val="00ED540B"/>
    <w:rsid w:val="00EE1892"/>
    <w:rsid w:val="00EE7AE3"/>
    <w:rsid w:val="00EF7B37"/>
    <w:rsid w:val="00F07626"/>
    <w:rsid w:val="00F24320"/>
    <w:rsid w:val="00F25B06"/>
    <w:rsid w:val="00F55443"/>
    <w:rsid w:val="00F568A4"/>
    <w:rsid w:val="00F73781"/>
    <w:rsid w:val="00F97C14"/>
    <w:rsid w:val="00FA08DF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2FA3F"/>
  <w15:docId w15:val="{DAC00F83-D5B7-466B-8D13-A596926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2B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471AA"/>
    <w:pPr>
      <w:ind w:left="720"/>
      <w:contextualSpacing/>
    </w:pPr>
  </w:style>
  <w:style w:type="paragraph" w:customStyle="1" w:styleId="Default">
    <w:name w:val="Default"/>
    <w:uiPriority w:val="99"/>
    <w:rsid w:val="003729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l1">
    <w:name w:val="Normál1"/>
    <w:uiPriority w:val="99"/>
    <w:rsid w:val="003729F4"/>
    <w:rPr>
      <w:rFonts w:ascii="Times New Roman" w:hAnsi="Times New Roman"/>
      <w:color w:val="000000"/>
    </w:rPr>
  </w:style>
  <w:style w:type="character" w:styleId="Hiperhivatkozs">
    <w:name w:val="Hyperlink"/>
    <w:uiPriority w:val="99"/>
    <w:rsid w:val="000872B1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D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A4533"/>
    <w:rPr>
      <w:rFonts w:cs="Times New Roman"/>
    </w:rPr>
  </w:style>
  <w:style w:type="paragraph" w:styleId="llb">
    <w:name w:val="footer"/>
    <w:basedOn w:val="Norml"/>
    <w:link w:val="llbChar"/>
    <w:uiPriority w:val="99"/>
    <w:rsid w:val="004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A4533"/>
    <w:rPr>
      <w:rFonts w:cs="Times New Roman"/>
    </w:rPr>
  </w:style>
  <w:style w:type="character" w:styleId="Jegyzethivatkozs">
    <w:name w:val="annotation reference"/>
    <w:uiPriority w:val="99"/>
    <w:semiHidden/>
    <w:rsid w:val="000E053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E05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0E053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05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E053E"/>
    <w:rPr>
      <w:rFonts w:cs="Times New Roman"/>
      <w:b/>
      <w:bCs/>
      <w:sz w:val="20"/>
      <w:szCs w:val="20"/>
    </w:rPr>
  </w:style>
  <w:style w:type="character" w:customStyle="1" w:styleId="Feloldatlanmegemlts1">
    <w:name w:val="Feloldatlan megemlítés1"/>
    <w:uiPriority w:val="99"/>
    <w:semiHidden/>
    <w:rsid w:val="000E053E"/>
    <w:rPr>
      <w:rFonts w:cs="Times New Roman"/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B278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Feloldatlanmegemlts2">
    <w:name w:val="Feloldatlan megemlítés2"/>
    <w:uiPriority w:val="99"/>
    <w:semiHidden/>
    <w:unhideWhenUsed/>
    <w:rsid w:val="0049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8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emisconserv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tya@smartemisconserv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dollo.uni-mate.hu/hu/oktatas/szakdolgo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k.uni-sopron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1501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FAUNA ÉS FLORA ALAPÍTVÁNY PÁLYÁZATI FELHÍVÁSA ÉS FELTÉTELRENDSZERE</vt:lpstr>
    </vt:vector>
  </TitlesOfParts>
  <Company>NYME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ÉS FLORA ALAPÍTVÁNY PÁLYÁZATI FELHÍVÁSA ÉS FELTÉTELRENDSZERE</dc:title>
  <dc:subject/>
  <dc:creator>Sándor Gyula</dc:creator>
  <cp:keywords/>
  <dc:description/>
  <cp:lastModifiedBy>Gaál Dorottya Karolin</cp:lastModifiedBy>
  <cp:revision>3</cp:revision>
  <dcterms:created xsi:type="dcterms:W3CDTF">2021-08-10T09:50:00Z</dcterms:created>
  <dcterms:modified xsi:type="dcterms:W3CDTF">2021-08-10T09:53:00Z</dcterms:modified>
</cp:coreProperties>
</file>